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2E0F07D" w14:textId="5DEEB35C" w:rsidR="00645BB6" w:rsidRDefault="009B6E18" w:rsidP="009B6E18">
      <w:pPr>
        <w:pStyle w:val="normal0"/>
        <w:spacing w:line="240" w:lineRule="auto"/>
        <w:jc w:val="center"/>
      </w:pPr>
      <w:r>
        <w:t xml:space="preserve">CLARITY </w:t>
      </w:r>
      <w:r w:rsidR="0061211F">
        <w:t>Frequently Asked Questions</w:t>
      </w:r>
      <w:r w:rsidR="00645BB6">
        <w:t xml:space="preserve">   6-15-13</w:t>
      </w:r>
    </w:p>
    <w:p w14:paraId="7F619CD9" w14:textId="77777777" w:rsidR="009B6E18" w:rsidRDefault="009B6E18" w:rsidP="00530A1D">
      <w:pPr>
        <w:pStyle w:val="normal0"/>
        <w:spacing w:line="240" w:lineRule="auto"/>
        <w:jc w:val="both"/>
      </w:pPr>
    </w:p>
    <w:p w14:paraId="29990562" w14:textId="77777777" w:rsidR="00AC4722" w:rsidRDefault="0061211F" w:rsidP="00530A1D">
      <w:pPr>
        <w:pStyle w:val="normal0"/>
        <w:numPr>
          <w:ilvl w:val="0"/>
          <w:numId w:val="1"/>
        </w:numPr>
        <w:spacing w:line="240" w:lineRule="auto"/>
        <w:ind w:hanging="359"/>
        <w:jc w:val="both"/>
      </w:pPr>
      <w:r>
        <w:t>Hydrogel Embedding related</w:t>
      </w:r>
    </w:p>
    <w:p w14:paraId="6E70580A" w14:textId="77777777" w:rsidR="00AC4722" w:rsidRDefault="0061211F" w:rsidP="00530A1D">
      <w:pPr>
        <w:pStyle w:val="normal0"/>
        <w:numPr>
          <w:ilvl w:val="0"/>
          <w:numId w:val="1"/>
        </w:numPr>
        <w:spacing w:line="240" w:lineRule="auto"/>
        <w:ind w:hanging="359"/>
        <w:jc w:val="both"/>
      </w:pPr>
      <w:r>
        <w:t>ETC clearing related</w:t>
      </w:r>
    </w:p>
    <w:p w14:paraId="66EE76DC" w14:textId="77777777" w:rsidR="00AC4722" w:rsidRDefault="0061211F" w:rsidP="00530A1D">
      <w:pPr>
        <w:pStyle w:val="normal0"/>
        <w:numPr>
          <w:ilvl w:val="0"/>
          <w:numId w:val="1"/>
        </w:numPr>
        <w:spacing w:line="240" w:lineRule="auto"/>
        <w:ind w:hanging="359"/>
        <w:jc w:val="both"/>
      </w:pPr>
      <w:r>
        <w:t>Staining related</w:t>
      </w:r>
    </w:p>
    <w:p w14:paraId="220E5CE6" w14:textId="3E586DB7" w:rsidR="009B6E18" w:rsidRDefault="0061211F" w:rsidP="009B6E18">
      <w:pPr>
        <w:pStyle w:val="normal0"/>
        <w:numPr>
          <w:ilvl w:val="0"/>
          <w:numId w:val="1"/>
        </w:numPr>
        <w:spacing w:line="240" w:lineRule="auto"/>
        <w:ind w:hanging="359"/>
        <w:jc w:val="both"/>
      </w:pPr>
      <w:r>
        <w:t>Mounting/Imaging/Analysis related</w:t>
      </w:r>
    </w:p>
    <w:p w14:paraId="6175CDB6" w14:textId="77777777" w:rsidR="009B6E18" w:rsidRDefault="009B6E18" w:rsidP="009B6E18">
      <w:pPr>
        <w:pStyle w:val="normal0"/>
        <w:spacing w:line="240" w:lineRule="auto"/>
        <w:ind w:left="720"/>
        <w:jc w:val="both"/>
      </w:pPr>
    </w:p>
    <w:p w14:paraId="32A60110" w14:textId="77777777" w:rsidR="00AC4722" w:rsidRDefault="00AC4722" w:rsidP="00530A1D">
      <w:pPr>
        <w:pStyle w:val="normal0"/>
        <w:spacing w:line="240" w:lineRule="auto"/>
        <w:jc w:val="both"/>
      </w:pPr>
    </w:p>
    <w:p w14:paraId="258383ED" w14:textId="77777777" w:rsidR="00AC4722" w:rsidRDefault="0061211F" w:rsidP="00530A1D">
      <w:pPr>
        <w:pStyle w:val="normal0"/>
        <w:spacing w:line="240" w:lineRule="auto"/>
        <w:jc w:val="both"/>
      </w:pPr>
      <w:r>
        <w:rPr>
          <w:b/>
          <w:u w:val="single"/>
        </w:rPr>
        <w:t>Hydrogel Embedding related</w:t>
      </w:r>
    </w:p>
    <w:p w14:paraId="4168EF05" w14:textId="77777777" w:rsidR="00AC4722" w:rsidRDefault="00AC4722" w:rsidP="00530A1D">
      <w:pPr>
        <w:pStyle w:val="normal0"/>
        <w:spacing w:line="240" w:lineRule="auto"/>
        <w:jc w:val="both"/>
      </w:pPr>
    </w:p>
    <w:p w14:paraId="71A65713" w14:textId="77777777" w:rsidR="00AC4722" w:rsidRDefault="0061211F" w:rsidP="00530A1D">
      <w:pPr>
        <w:pStyle w:val="normal0"/>
        <w:spacing w:line="240" w:lineRule="auto"/>
        <w:jc w:val="both"/>
      </w:pPr>
      <w:r>
        <w:t xml:space="preserve">A general video article on </w:t>
      </w:r>
      <w:proofErr w:type="spellStart"/>
      <w:r>
        <w:t>transcardial</w:t>
      </w:r>
      <w:proofErr w:type="spellEnd"/>
      <w:r>
        <w:t xml:space="preserve"> perfusion:</w:t>
      </w:r>
    </w:p>
    <w:p w14:paraId="15675FF4" w14:textId="77777777" w:rsidR="00AC4722" w:rsidRDefault="0061211F" w:rsidP="00530A1D">
      <w:pPr>
        <w:pStyle w:val="normal0"/>
        <w:spacing w:line="240" w:lineRule="auto"/>
        <w:jc w:val="both"/>
      </w:pPr>
      <w:hyperlink r:id="rId6">
        <w:r>
          <w:rPr>
            <w:color w:val="1155CC"/>
            <w:u w:val="single"/>
          </w:rPr>
          <w:t>http://www.jove.com/video/3564/whole-animal-perfusion-fixation-for-rodents</w:t>
        </w:r>
      </w:hyperlink>
    </w:p>
    <w:p w14:paraId="39D8C46B" w14:textId="77777777" w:rsidR="00AC4722" w:rsidRDefault="00AC4722" w:rsidP="00530A1D">
      <w:pPr>
        <w:pStyle w:val="normal0"/>
        <w:spacing w:line="240" w:lineRule="auto"/>
        <w:jc w:val="both"/>
      </w:pPr>
    </w:p>
    <w:p w14:paraId="4BF4203A" w14:textId="77777777" w:rsidR="00AC4722" w:rsidRDefault="00AC4722" w:rsidP="00530A1D">
      <w:pPr>
        <w:pStyle w:val="normal0"/>
        <w:spacing w:line="240" w:lineRule="auto"/>
        <w:jc w:val="both"/>
      </w:pPr>
    </w:p>
    <w:p w14:paraId="6F85255D" w14:textId="77777777" w:rsidR="00AC4722" w:rsidRDefault="0061211F" w:rsidP="00530A1D">
      <w:pPr>
        <w:pStyle w:val="normal0"/>
        <w:spacing w:line="240" w:lineRule="auto"/>
        <w:jc w:val="both"/>
      </w:pPr>
      <w:r>
        <w:rPr>
          <w:b/>
          <w:u w:val="single"/>
        </w:rPr>
        <w:t>ETC clearing related</w:t>
      </w:r>
    </w:p>
    <w:p w14:paraId="61F747E2" w14:textId="77777777" w:rsidR="00AC4722" w:rsidRDefault="00AC4722" w:rsidP="00530A1D">
      <w:pPr>
        <w:pStyle w:val="normal0"/>
        <w:spacing w:line="240" w:lineRule="auto"/>
        <w:jc w:val="both"/>
      </w:pPr>
    </w:p>
    <w:p w14:paraId="668DA6E7" w14:textId="77777777" w:rsidR="00A10EF1" w:rsidRDefault="0061211F" w:rsidP="00530A1D">
      <w:pPr>
        <w:pStyle w:val="normal0"/>
        <w:spacing w:line="240" w:lineRule="auto"/>
        <w:jc w:val="both"/>
        <w:rPr>
          <w:i/>
        </w:rPr>
      </w:pPr>
      <w:r>
        <w:rPr>
          <w:b/>
        </w:rPr>
        <w:t>Q</w:t>
      </w:r>
      <w:r>
        <w:t xml:space="preserve">. </w:t>
      </w:r>
      <w:r w:rsidR="00A10EF1">
        <w:rPr>
          <w:i/>
        </w:rPr>
        <w:t>What does t</w:t>
      </w:r>
      <w:r>
        <w:rPr>
          <w:i/>
        </w:rPr>
        <w:t xml:space="preserve">he </w:t>
      </w:r>
      <w:proofErr w:type="spellStart"/>
      <w:r>
        <w:rPr>
          <w:i/>
        </w:rPr>
        <w:t>nalgene</w:t>
      </w:r>
      <w:proofErr w:type="spellEnd"/>
      <w:r>
        <w:rPr>
          <w:i/>
        </w:rPr>
        <w:t xml:space="preserve"> bottle detailed in the parts list </w:t>
      </w:r>
      <w:r w:rsidR="00A10EF1">
        <w:rPr>
          <w:i/>
        </w:rPr>
        <w:t>look like?</w:t>
      </w:r>
    </w:p>
    <w:p w14:paraId="6348EB25" w14:textId="77777777" w:rsidR="00AC4722" w:rsidRDefault="0061211F" w:rsidP="00530A1D">
      <w:pPr>
        <w:pStyle w:val="normal0"/>
        <w:spacing w:line="240" w:lineRule="auto"/>
        <w:jc w:val="both"/>
      </w:pPr>
      <w:proofErr w:type="spellStart"/>
      <w:r>
        <w:rPr>
          <w:b/>
        </w:rPr>
        <w:t>Ans</w:t>
      </w:r>
      <w:proofErr w:type="spellEnd"/>
      <w:r>
        <w:t xml:space="preserve">: The </w:t>
      </w:r>
      <w:proofErr w:type="spellStart"/>
      <w:r>
        <w:t>nalgene</w:t>
      </w:r>
      <w:proofErr w:type="spellEnd"/>
      <w:r>
        <w:t xml:space="preserve"> bottles are transparent, which are then covered with </w:t>
      </w:r>
      <w:r w:rsidR="00297A79">
        <w:t>alumin</w:t>
      </w:r>
      <w:r>
        <w:t xml:space="preserve">um foil, for </w:t>
      </w:r>
      <w:r w:rsidR="00A10EF1">
        <w:t>example, to clarify fluorescent/light-</w:t>
      </w:r>
      <w:r>
        <w:t>sensitive samples. The bottles we use are 2oz/60 mL Nalgene bottles with screw tops.</w:t>
      </w:r>
    </w:p>
    <w:p w14:paraId="7F71D49C" w14:textId="77777777" w:rsidR="00AC4722" w:rsidRDefault="0061211F" w:rsidP="00530A1D">
      <w:pPr>
        <w:pStyle w:val="normal0"/>
        <w:spacing w:line="240" w:lineRule="auto"/>
        <w:jc w:val="both"/>
      </w:pPr>
      <w:r>
        <w:t xml:space="preserve">    </w:t>
      </w:r>
      <w:r>
        <w:rPr>
          <w:noProof/>
          <w:lang w:eastAsia="en-US"/>
        </w:rPr>
        <w:drawing>
          <wp:inline distT="0" distB="0" distL="0" distR="0" wp14:anchorId="506EFFCA" wp14:editId="4D57C3CB">
            <wp:extent cx="1343025" cy="1800225"/>
            <wp:effectExtent l="0" t="0" r="0" b="0"/>
            <wp:docPr id="10"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7"/>
                    <a:stretch>
                      <a:fillRect/>
                    </a:stretch>
                  </pic:blipFill>
                  <pic:spPr>
                    <a:xfrm>
                      <a:off x="0" y="0"/>
                      <a:ext cx="1343025" cy="1800225"/>
                    </a:xfrm>
                    <a:prstGeom prst="rect">
                      <a:avLst/>
                    </a:prstGeom>
                  </pic:spPr>
                </pic:pic>
              </a:graphicData>
            </a:graphic>
          </wp:inline>
        </w:drawing>
      </w:r>
      <w:r>
        <w:t xml:space="preserve"> </w:t>
      </w:r>
      <w:r>
        <w:rPr>
          <w:noProof/>
          <w:lang w:eastAsia="en-US"/>
        </w:rPr>
        <w:drawing>
          <wp:inline distT="0" distB="0" distL="0" distR="0" wp14:anchorId="3AFF33AA" wp14:editId="6B6DD054">
            <wp:extent cx="1352550" cy="1800225"/>
            <wp:effectExtent l="0" t="0" r="0" b="0"/>
            <wp:docPr id="2"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a:stretch>
                      <a:fillRect/>
                    </a:stretch>
                  </pic:blipFill>
                  <pic:spPr>
                    <a:xfrm>
                      <a:off x="0" y="0"/>
                      <a:ext cx="1352550" cy="1800225"/>
                    </a:xfrm>
                    <a:prstGeom prst="rect">
                      <a:avLst/>
                    </a:prstGeom>
                  </pic:spPr>
                </pic:pic>
              </a:graphicData>
            </a:graphic>
          </wp:inline>
        </w:drawing>
      </w:r>
      <w:r>
        <w:rPr>
          <w:noProof/>
          <w:lang w:eastAsia="en-US"/>
        </w:rPr>
        <w:drawing>
          <wp:inline distT="0" distB="0" distL="0" distR="0" wp14:anchorId="6EDE22F8" wp14:editId="5AF0790E">
            <wp:extent cx="2533650" cy="1685925"/>
            <wp:effectExtent l="0" t="0" r="0"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9"/>
                    <a:stretch>
                      <a:fillRect/>
                    </a:stretch>
                  </pic:blipFill>
                  <pic:spPr>
                    <a:xfrm>
                      <a:off x="0" y="0"/>
                      <a:ext cx="2533650" cy="1685925"/>
                    </a:xfrm>
                    <a:prstGeom prst="rect">
                      <a:avLst/>
                    </a:prstGeom>
                  </pic:spPr>
                </pic:pic>
              </a:graphicData>
            </a:graphic>
          </wp:inline>
        </w:drawing>
      </w:r>
    </w:p>
    <w:p w14:paraId="4CF673A2" w14:textId="77777777" w:rsidR="00AC4722" w:rsidRDefault="00AC4722" w:rsidP="00530A1D">
      <w:pPr>
        <w:pStyle w:val="normal0"/>
        <w:spacing w:line="240" w:lineRule="auto"/>
        <w:jc w:val="both"/>
      </w:pPr>
    </w:p>
    <w:p w14:paraId="25BEFD92" w14:textId="77777777" w:rsidR="00AC4722" w:rsidRDefault="00AC4722" w:rsidP="00530A1D">
      <w:pPr>
        <w:pStyle w:val="normal0"/>
        <w:spacing w:line="240" w:lineRule="auto"/>
        <w:jc w:val="both"/>
      </w:pPr>
    </w:p>
    <w:p w14:paraId="2B129D36" w14:textId="77777777" w:rsidR="00AC4722" w:rsidRDefault="0061211F" w:rsidP="00530A1D">
      <w:pPr>
        <w:pStyle w:val="normal0"/>
        <w:spacing w:line="240" w:lineRule="auto"/>
        <w:jc w:val="both"/>
      </w:pPr>
      <w:r>
        <w:rPr>
          <w:b/>
        </w:rPr>
        <w:t>Q</w:t>
      </w:r>
      <w:r>
        <w:t xml:space="preserve">. </w:t>
      </w:r>
      <w:r>
        <w:rPr>
          <w:i/>
        </w:rPr>
        <w:t>The sample holder part number</w:t>
      </w:r>
      <w:r w:rsidR="00A10EF1">
        <w:rPr>
          <w:i/>
        </w:rPr>
        <w:t xml:space="preserve"> is unclear, and h</w:t>
      </w:r>
      <w:r>
        <w:rPr>
          <w:i/>
        </w:rPr>
        <w:t>ow does it attach to the chamber?</w:t>
      </w:r>
    </w:p>
    <w:p w14:paraId="0425EBED" w14:textId="77777777" w:rsidR="00AC4722" w:rsidRDefault="0061211F" w:rsidP="00530A1D">
      <w:pPr>
        <w:pStyle w:val="normal0"/>
        <w:spacing w:line="240" w:lineRule="auto"/>
        <w:jc w:val="both"/>
      </w:pPr>
      <w:proofErr w:type="spellStart"/>
      <w:r>
        <w:rPr>
          <w:b/>
        </w:rPr>
        <w:t>Ans</w:t>
      </w:r>
      <w:proofErr w:type="spellEnd"/>
      <w:r>
        <w:t xml:space="preserve">: We use a 40um BD cell strainer (Catalog Number 352340) flanked by mesh on either side to protect the sample from the electrodes (this mesh can be any material that will not conduct current - we use chemical-resistant polypropylene mesh from McMaster-Carr, product number 9275T38, 6x6 mesh size, 0.1323” opening). The following pictures show the parts used with a reference measure and how the sample holder and mesh should look in the ETC chamber. </w:t>
      </w:r>
    </w:p>
    <w:p w14:paraId="3DD88544" w14:textId="77777777" w:rsidR="00AC4722" w:rsidRDefault="0061211F" w:rsidP="00530A1D">
      <w:pPr>
        <w:pStyle w:val="normal0"/>
        <w:spacing w:line="240" w:lineRule="auto"/>
        <w:jc w:val="both"/>
      </w:pPr>
      <w:r>
        <w:rPr>
          <w:noProof/>
          <w:lang w:eastAsia="en-US"/>
        </w:rPr>
        <w:drawing>
          <wp:inline distT="0" distB="0" distL="0" distR="0" wp14:anchorId="5660FCC1" wp14:editId="61CD5CD1">
            <wp:extent cx="1666875" cy="1704975"/>
            <wp:effectExtent l="0" t="0" r="0" b="0"/>
            <wp:docPr id="7"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a:stretch>
                      <a:fillRect/>
                    </a:stretch>
                  </pic:blipFill>
                  <pic:spPr>
                    <a:xfrm>
                      <a:off x="0" y="0"/>
                      <a:ext cx="1666875" cy="1704975"/>
                    </a:xfrm>
                    <a:prstGeom prst="rect">
                      <a:avLst/>
                    </a:prstGeom>
                  </pic:spPr>
                </pic:pic>
              </a:graphicData>
            </a:graphic>
          </wp:inline>
        </w:drawing>
      </w:r>
      <w:r>
        <w:rPr>
          <w:noProof/>
          <w:lang w:eastAsia="en-US"/>
        </w:rPr>
        <w:drawing>
          <wp:inline distT="0" distB="0" distL="0" distR="0" wp14:anchorId="1E6E9C90" wp14:editId="1479039A">
            <wp:extent cx="1333500" cy="1695450"/>
            <wp:effectExtent l="0" t="0" r="0" b="0"/>
            <wp:docPr id="4"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a:stretch>
                      <a:fillRect/>
                    </a:stretch>
                  </pic:blipFill>
                  <pic:spPr>
                    <a:xfrm>
                      <a:off x="0" y="0"/>
                      <a:ext cx="1333500" cy="1695450"/>
                    </a:xfrm>
                    <a:prstGeom prst="rect">
                      <a:avLst/>
                    </a:prstGeom>
                  </pic:spPr>
                </pic:pic>
              </a:graphicData>
            </a:graphic>
          </wp:inline>
        </w:drawing>
      </w:r>
      <w:r>
        <w:rPr>
          <w:noProof/>
          <w:lang w:eastAsia="en-US"/>
        </w:rPr>
        <w:drawing>
          <wp:inline distT="0" distB="0" distL="0" distR="0" wp14:anchorId="018BE2C5" wp14:editId="6E875F67">
            <wp:extent cx="1981200" cy="1676400"/>
            <wp:effectExtent l="0" t="0" r="0" b="0"/>
            <wp:docPr id="8"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2"/>
                    <a:stretch>
                      <a:fillRect/>
                    </a:stretch>
                  </pic:blipFill>
                  <pic:spPr>
                    <a:xfrm>
                      <a:off x="0" y="0"/>
                      <a:ext cx="1981200" cy="1676400"/>
                    </a:xfrm>
                    <a:prstGeom prst="rect">
                      <a:avLst/>
                    </a:prstGeom>
                  </pic:spPr>
                </pic:pic>
              </a:graphicData>
            </a:graphic>
          </wp:inline>
        </w:drawing>
      </w:r>
    </w:p>
    <w:p w14:paraId="367D54F3" w14:textId="77777777" w:rsidR="00AC4722" w:rsidRDefault="00AC4722" w:rsidP="00530A1D">
      <w:pPr>
        <w:pStyle w:val="normal0"/>
        <w:spacing w:line="240" w:lineRule="auto"/>
        <w:jc w:val="both"/>
      </w:pPr>
    </w:p>
    <w:p w14:paraId="0130C08E" w14:textId="77777777" w:rsidR="00AC4722" w:rsidRDefault="0061211F" w:rsidP="00530A1D">
      <w:pPr>
        <w:pStyle w:val="normal0"/>
        <w:spacing w:line="240" w:lineRule="auto"/>
        <w:jc w:val="both"/>
      </w:pPr>
      <w:r>
        <w:rPr>
          <w:b/>
        </w:rPr>
        <w:lastRenderedPageBreak/>
        <w:t>Q</w:t>
      </w:r>
      <w:r>
        <w:t xml:space="preserve">. </w:t>
      </w:r>
      <w:r>
        <w:rPr>
          <w:i/>
        </w:rPr>
        <w:t>Do you need to seal between the lid and the body of ETC chamber?</w:t>
      </w:r>
    </w:p>
    <w:p w14:paraId="4657A5A2" w14:textId="77777777" w:rsidR="00AC4722" w:rsidRDefault="0061211F" w:rsidP="00530A1D">
      <w:pPr>
        <w:pStyle w:val="normal0"/>
        <w:spacing w:line="240" w:lineRule="auto"/>
        <w:jc w:val="both"/>
      </w:pPr>
      <w:proofErr w:type="spellStart"/>
      <w:r>
        <w:rPr>
          <w:b/>
        </w:rPr>
        <w:t>Ans</w:t>
      </w:r>
      <w:proofErr w:type="spellEnd"/>
      <w:r>
        <w:t xml:space="preserve">: The bottle lid itself provides a </w:t>
      </w:r>
      <w:proofErr w:type="gramStart"/>
      <w:r>
        <w:t>water-tight</w:t>
      </w:r>
      <w:proofErr w:type="gramEnd"/>
      <w:r>
        <w:t xml:space="preserve"> seal. It is important to make the inlet, outlet and</w:t>
      </w:r>
      <w:r w:rsidR="00A10EF1">
        <w:t xml:space="preserve"> electrode fittings </w:t>
      </w:r>
      <w:proofErr w:type="gramStart"/>
      <w:r w:rsidR="00A10EF1">
        <w:t>water-tight</w:t>
      </w:r>
      <w:proofErr w:type="gramEnd"/>
      <w:r w:rsidR="00A10EF1">
        <w:t>.</w:t>
      </w:r>
    </w:p>
    <w:p w14:paraId="2B7A0B79" w14:textId="77777777" w:rsidR="00AC4722" w:rsidRDefault="00AC4722" w:rsidP="00530A1D">
      <w:pPr>
        <w:pStyle w:val="normal0"/>
        <w:spacing w:line="240" w:lineRule="auto"/>
        <w:jc w:val="both"/>
      </w:pPr>
    </w:p>
    <w:p w14:paraId="0416FB2D" w14:textId="77777777" w:rsidR="00AC4722" w:rsidRDefault="0061211F" w:rsidP="00530A1D">
      <w:pPr>
        <w:pStyle w:val="normal0"/>
        <w:spacing w:line="240" w:lineRule="auto"/>
        <w:jc w:val="both"/>
      </w:pPr>
      <w:r>
        <w:rPr>
          <w:b/>
        </w:rPr>
        <w:t>Q</w:t>
      </w:r>
      <w:r>
        <w:t xml:space="preserve">. </w:t>
      </w:r>
      <w:r>
        <w:rPr>
          <w:i/>
        </w:rPr>
        <w:t xml:space="preserve">How far apart </w:t>
      </w:r>
      <w:proofErr w:type="gramStart"/>
      <w:r>
        <w:rPr>
          <w:i/>
        </w:rPr>
        <w:t>are</w:t>
      </w:r>
      <w:proofErr w:type="gramEnd"/>
      <w:r>
        <w:rPr>
          <w:i/>
        </w:rPr>
        <w:t xml:space="preserve"> the electrodes inside the chamber?</w:t>
      </w:r>
      <w:r>
        <w:t xml:space="preserve"> </w:t>
      </w:r>
    </w:p>
    <w:p w14:paraId="00AE9524" w14:textId="77777777" w:rsidR="00AC4722" w:rsidRDefault="0061211F" w:rsidP="00530A1D">
      <w:pPr>
        <w:pStyle w:val="normal0"/>
        <w:spacing w:line="240" w:lineRule="auto"/>
        <w:jc w:val="both"/>
      </w:pPr>
      <w:proofErr w:type="spellStart"/>
      <w:r>
        <w:rPr>
          <w:b/>
        </w:rPr>
        <w:t>Ans</w:t>
      </w:r>
      <w:proofErr w:type="spellEnd"/>
      <w:r>
        <w:t xml:space="preserve">: The details are provided in the Supplementary figure 2. As a rule of thumb, we use the lid of 50 ml falcon tube to separate the electrodes as it is close to the cell strainer + mesh width. </w:t>
      </w:r>
    </w:p>
    <w:p w14:paraId="449C2480" w14:textId="77777777" w:rsidR="00AC4722" w:rsidRDefault="0061211F" w:rsidP="00530A1D">
      <w:pPr>
        <w:pStyle w:val="normal0"/>
        <w:spacing w:line="240" w:lineRule="auto"/>
        <w:jc w:val="both"/>
      </w:pPr>
      <w:r>
        <w:rPr>
          <w:noProof/>
          <w:lang w:eastAsia="en-US"/>
        </w:rPr>
        <w:drawing>
          <wp:inline distT="0" distB="0" distL="0" distR="0" wp14:anchorId="5A63E954" wp14:editId="45FB2B15">
            <wp:extent cx="1390650" cy="1657350"/>
            <wp:effectExtent l="0" t="0" r="0" b="0"/>
            <wp:docPr id="5"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3"/>
                    <a:stretch>
                      <a:fillRect/>
                    </a:stretch>
                  </pic:blipFill>
                  <pic:spPr>
                    <a:xfrm>
                      <a:off x="0" y="0"/>
                      <a:ext cx="1390650" cy="1657350"/>
                    </a:xfrm>
                    <a:prstGeom prst="rect">
                      <a:avLst/>
                    </a:prstGeom>
                  </pic:spPr>
                </pic:pic>
              </a:graphicData>
            </a:graphic>
          </wp:inline>
        </w:drawing>
      </w:r>
      <w:r>
        <w:rPr>
          <w:noProof/>
          <w:lang w:eastAsia="en-US"/>
        </w:rPr>
        <w:drawing>
          <wp:inline distT="0" distB="0" distL="0" distR="0" wp14:anchorId="4FB0B03A" wp14:editId="4865749D">
            <wp:extent cx="1354873" cy="1664087"/>
            <wp:effectExtent l="0" t="0" r="0" b="0"/>
            <wp:docPr id="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1"/>
                    <a:stretch>
                      <a:fillRect/>
                    </a:stretch>
                  </pic:blipFill>
                  <pic:spPr>
                    <a:xfrm>
                      <a:off x="0" y="0"/>
                      <a:ext cx="1354873" cy="1664087"/>
                    </a:xfrm>
                    <a:prstGeom prst="rect">
                      <a:avLst/>
                    </a:prstGeom>
                  </pic:spPr>
                </pic:pic>
              </a:graphicData>
            </a:graphic>
          </wp:inline>
        </w:drawing>
      </w:r>
    </w:p>
    <w:p w14:paraId="3531129A" w14:textId="77777777" w:rsidR="00AC4722" w:rsidRDefault="00AC4722" w:rsidP="00530A1D">
      <w:pPr>
        <w:pStyle w:val="normal0"/>
        <w:spacing w:line="240" w:lineRule="auto"/>
        <w:jc w:val="both"/>
      </w:pPr>
    </w:p>
    <w:p w14:paraId="36A3638E" w14:textId="77777777" w:rsidR="00AC4722" w:rsidRDefault="0061211F" w:rsidP="00530A1D">
      <w:pPr>
        <w:pStyle w:val="normal0"/>
        <w:spacing w:line="240" w:lineRule="auto"/>
        <w:jc w:val="both"/>
      </w:pPr>
      <w:r>
        <w:rPr>
          <w:b/>
        </w:rPr>
        <w:t>Q</w:t>
      </w:r>
      <w:r>
        <w:t xml:space="preserve">. </w:t>
      </w:r>
      <w:r>
        <w:rPr>
          <w:i/>
        </w:rPr>
        <w:t>The specified electrode fitting holders have an ID (1.587mm) three times bigger than the electrode wire width (0.5mm). How does the electrode wire remain fixed, and how is it sealed?</w:t>
      </w:r>
    </w:p>
    <w:p w14:paraId="352F0E9C" w14:textId="77777777" w:rsidR="00AC4722" w:rsidRDefault="0061211F" w:rsidP="00530A1D">
      <w:pPr>
        <w:pStyle w:val="normal0"/>
        <w:spacing w:line="240" w:lineRule="auto"/>
        <w:jc w:val="both"/>
      </w:pPr>
      <w:proofErr w:type="spellStart"/>
      <w:r>
        <w:rPr>
          <w:b/>
        </w:rPr>
        <w:t>Ans</w:t>
      </w:r>
      <w:proofErr w:type="spellEnd"/>
      <w:r>
        <w:t xml:space="preserve">: We fix the Platinum electrode wire to holders by filling the remaining holder space and surrounding fitting with epoxy solution. The epoxy and dispenser is in the materials inventory and should be used at all inlet/outlet and electrode fitting junctures. Allow </w:t>
      </w:r>
      <w:proofErr w:type="gramStart"/>
      <w:r>
        <w:t>to dry</w:t>
      </w:r>
      <w:proofErr w:type="gramEnd"/>
      <w:r>
        <w:t xml:space="preserve"> overnight for a liquid-tight seal. </w:t>
      </w:r>
    </w:p>
    <w:p w14:paraId="69505036" w14:textId="77777777" w:rsidR="00AC4722" w:rsidRDefault="0061211F" w:rsidP="00530A1D">
      <w:pPr>
        <w:pStyle w:val="normal0"/>
        <w:spacing w:line="240" w:lineRule="auto"/>
        <w:jc w:val="both"/>
      </w:pPr>
      <w:r>
        <w:rPr>
          <w:noProof/>
          <w:lang w:eastAsia="en-US"/>
        </w:rPr>
        <w:drawing>
          <wp:inline distT="0" distB="0" distL="0" distR="0" wp14:anchorId="7737992D" wp14:editId="2AFC5400">
            <wp:extent cx="819150" cy="1314450"/>
            <wp:effectExtent l="0" t="0" r="0" b="0"/>
            <wp:docPr id="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4"/>
                    <a:stretch>
                      <a:fillRect/>
                    </a:stretch>
                  </pic:blipFill>
                  <pic:spPr>
                    <a:xfrm>
                      <a:off x="0" y="0"/>
                      <a:ext cx="819150" cy="1314450"/>
                    </a:xfrm>
                    <a:prstGeom prst="rect">
                      <a:avLst/>
                    </a:prstGeom>
                  </pic:spPr>
                </pic:pic>
              </a:graphicData>
            </a:graphic>
          </wp:inline>
        </w:drawing>
      </w:r>
    </w:p>
    <w:p w14:paraId="492203C7" w14:textId="77777777" w:rsidR="00AC4722" w:rsidRDefault="00AC4722" w:rsidP="00530A1D">
      <w:pPr>
        <w:pStyle w:val="normal0"/>
        <w:spacing w:line="240" w:lineRule="auto"/>
        <w:jc w:val="both"/>
      </w:pPr>
    </w:p>
    <w:p w14:paraId="38F7D32B" w14:textId="77777777" w:rsidR="00AC4722" w:rsidRDefault="0061211F" w:rsidP="00530A1D">
      <w:pPr>
        <w:pStyle w:val="normal0"/>
        <w:spacing w:line="240" w:lineRule="auto"/>
        <w:jc w:val="both"/>
      </w:pPr>
      <w:r>
        <w:rPr>
          <w:b/>
        </w:rPr>
        <w:t>Q</w:t>
      </w:r>
      <w:r w:rsidR="00A10EF1">
        <w:rPr>
          <w:b/>
        </w:rPr>
        <w:t>.</w:t>
      </w:r>
      <w:r>
        <w:t xml:space="preserve"> </w:t>
      </w:r>
      <w:r>
        <w:rPr>
          <w:i/>
        </w:rPr>
        <w:t xml:space="preserve">Which end of the platinum wire electrode in the chamber </w:t>
      </w:r>
      <w:proofErr w:type="gramStart"/>
      <w:r>
        <w:rPr>
          <w:i/>
        </w:rPr>
        <w:t>connect</w:t>
      </w:r>
      <w:proofErr w:type="gramEnd"/>
      <w:r>
        <w:rPr>
          <w:i/>
        </w:rPr>
        <w:t xml:space="preserve"> to power supply?</w:t>
      </w:r>
    </w:p>
    <w:p w14:paraId="166CE55A" w14:textId="77777777" w:rsidR="00AC4722" w:rsidRDefault="0061211F" w:rsidP="00530A1D">
      <w:pPr>
        <w:pStyle w:val="normal0"/>
        <w:spacing w:line="240" w:lineRule="auto"/>
        <w:jc w:val="both"/>
      </w:pPr>
      <w:proofErr w:type="spellStart"/>
      <w:r>
        <w:rPr>
          <w:b/>
        </w:rPr>
        <w:t>Ans</w:t>
      </w:r>
      <w:proofErr w:type="spellEnd"/>
      <w:r>
        <w:t xml:space="preserve">: The bottom ends, which are protruding through to the outside of the chamber. </w:t>
      </w:r>
    </w:p>
    <w:p w14:paraId="6AA7612B" w14:textId="77777777" w:rsidR="00AC4722" w:rsidRDefault="00AC4722" w:rsidP="00530A1D">
      <w:pPr>
        <w:pStyle w:val="normal0"/>
        <w:spacing w:line="240" w:lineRule="auto"/>
        <w:jc w:val="both"/>
      </w:pPr>
    </w:p>
    <w:p w14:paraId="3247A6A8" w14:textId="77777777" w:rsidR="00AC4722" w:rsidRDefault="0061211F" w:rsidP="00530A1D">
      <w:pPr>
        <w:pStyle w:val="normal0"/>
        <w:spacing w:line="240" w:lineRule="auto"/>
        <w:jc w:val="both"/>
      </w:pPr>
      <w:r>
        <w:rPr>
          <w:b/>
        </w:rPr>
        <w:t>Q</w:t>
      </w:r>
      <w:r>
        <w:t xml:space="preserve">. </w:t>
      </w:r>
      <w:r>
        <w:rPr>
          <w:i/>
        </w:rPr>
        <w:t>Does the Platinum wire hold its E-shape and the angle at its entry-point?</w:t>
      </w:r>
    </w:p>
    <w:p w14:paraId="01D1546D" w14:textId="77777777" w:rsidR="00AC4722" w:rsidRDefault="0061211F" w:rsidP="00530A1D">
      <w:pPr>
        <w:pStyle w:val="normal0"/>
        <w:spacing w:line="240" w:lineRule="auto"/>
        <w:jc w:val="both"/>
      </w:pPr>
      <w:proofErr w:type="spellStart"/>
      <w:r>
        <w:rPr>
          <w:b/>
        </w:rPr>
        <w:t>Ans</w:t>
      </w:r>
      <w:proofErr w:type="spellEnd"/>
      <w:r>
        <w:t>: Yes, it does.</w:t>
      </w:r>
    </w:p>
    <w:p w14:paraId="56A08175" w14:textId="77777777" w:rsidR="00AC4722" w:rsidRDefault="00AC4722" w:rsidP="00530A1D">
      <w:pPr>
        <w:pStyle w:val="normal0"/>
        <w:spacing w:line="240" w:lineRule="auto"/>
        <w:jc w:val="both"/>
      </w:pPr>
    </w:p>
    <w:p w14:paraId="6693579F" w14:textId="77777777" w:rsidR="00AC4722" w:rsidRDefault="0061211F" w:rsidP="00530A1D">
      <w:pPr>
        <w:pStyle w:val="normal0"/>
        <w:spacing w:line="240" w:lineRule="auto"/>
        <w:jc w:val="both"/>
      </w:pPr>
      <w:r>
        <w:rPr>
          <w:b/>
        </w:rPr>
        <w:t>Q</w:t>
      </w:r>
      <w:r>
        <w:t xml:space="preserve">. </w:t>
      </w:r>
      <w:r w:rsidR="00A10EF1">
        <w:rPr>
          <w:i/>
        </w:rPr>
        <w:t>Can b</w:t>
      </w:r>
      <w:r>
        <w:rPr>
          <w:i/>
        </w:rPr>
        <w:t xml:space="preserve">oth </w:t>
      </w:r>
      <w:r w:rsidR="00A10EF1">
        <w:rPr>
          <w:i/>
        </w:rPr>
        <w:t xml:space="preserve">the </w:t>
      </w:r>
      <w:r>
        <w:rPr>
          <w:i/>
        </w:rPr>
        <w:t xml:space="preserve">inlet/outlet and electrode tube fittings </w:t>
      </w:r>
      <w:r w:rsidR="00A10EF1">
        <w:rPr>
          <w:i/>
        </w:rPr>
        <w:t>vary in appearance?</w:t>
      </w:r>
    </w:p>
    <w:p w14:paraId="3D9551BE" w14:textId="7AE888EB" w:rsidR="00AC4722" w:rsidRDefault="0061211F" w:rsidP="00530A1D">
      <w:pPr>
        <w:pStyle w:val="normal0"/>
        <w:spacing w:line="240" w:lineRule="auto"/>
        <w:jc w:val="both"/>
      </w:pPr>
      <w:r>
        <w:t xml:space="preserve">                                                       </w:t>
      </w:r>
    </w:p>
    <w:p w14:paraId="16B90D85" w14:textId="54487491" w:rsidR="00267BC9" w:rsidRDefault="00267BC9" w:rsidP="00530A1D">
      <w:pPr>
        <w:pStyle w:val="normal0"/>
        <w:spacing w:line="240" w:lineRule="auto"/>
        <w:jc w:val="both"/>
      </w:pPr>
      <w:r>
        <w:rPr>
          <w:noProof/>
          <w:lang w:eastAsia="en-US"/>
        </w:rPr>
        <w:drawing>
          <wp:anchor distT="0" distB="0" distL="114300" distR="114300" simplePos="0" relativeHeight="251658240" behindDoc="0" locked="0" layoutInCell="1" allowOverlap="1" wp14:anchorId="50B2048F" wp14:editId="41FCB7B8">
            <wp:simplePos x="0" y="0"/>
            <wp:positionH relativeFrom="column">
              <wp:posOffset>4114800</wp:posOffset>
            </wp:positionH>
            <wp:positionV relativeFrom="paragraph">
              <wp:posOffset>70485</wp:posOffset>
            </wp:positionV>
            <wp:extent cx="1371600" cy="1714500"/>
            <wp:effectExtent l="0" t="0" r="0" b="1270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1371600" cy="171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61211F">
        <w:rPr>
          <w:b/>
        </w:rPr>
        <w:t>Ans</w:t>
      </w:r>
      <w:proofErr w:type="spellEnd"/>
      <w:r w:rsidR="0061211F">
        <w:rPr>
          <w:b/>
        </w:rPr>
        <w:t xml:space="preserve">: </w:t>
      </w:r>
      <w:r w:rsidR="0061211F">
        <w:t xml:space="preserve">There are many ways to build the ETC. For convenience, </w:t>
      </w:r>
    </w:p>
    <w:p w14:paraId="7AACC2ED" w14:textId="77777777" w:rsidR="00267BC9" w:rsidRDefault="0061211F" w:rsidP="00530A1D">
      <w:pPr>
        <w:pStyle w:val="normal0"/>
        <w:spacing w:line="240" w:lineRule="auto"/>
        <w:jc w:val="both"/>
      </w:pPr>
      <w:proofErr w:type="gramStart"/>
      <w:r>
        <w:t>we</w:t>
      </w:r>
      <w:proofErr w:type="gramEnd"/>
      <w:r>
        <w:t xml:space="preserve"> </w:t>
      </w:r>
      <w:r w:rsidR="00267BC9">
        <w:t xml:space="preserve">often </w:t>
      </w:r>
      <w:r>
        <w:t>use pre-made parts from McMaster-Carr and Nalgene,</w:t>
      </w:r>
    </w:p>
    <w:p w14:paraId="694CBAFB" w14:textId="1720DF5E" w:rsidR="00267BC9" w:rsidRDefault="0061211F" w:rsidP="00530A1D">
      <w:pPr>
        <w:pStyle w:val="normal0"/>
        <w:spacing w:line="240" w:lineRule="auto"/>
        <w:jc w:val="both"/>
      </w:pPr>
      <w:proofErr w:type="gramStart"/>
      <w:r>
        <w:t>which</w:t>
      </w:r>
      <w:proofErr w:type="gramEnd"/>
      <w:r>
        <w:t xml:space="preserve"> </w:t>
      </w:r>
      <w:r w:rsidR="00267BC9">
        <w:t xml:space="preserve">therefore need </w:t>
      </w:r>
      <w:r>
        <w:t xml:space="preserve">not exactly mirror </w:t>
      </w:r>
      <w:r w:rsidR="00267BC9">
        <w:t>some</w:t>
      </w:r>
      <w:r>
        <w:t xml:space="preserve"> diagram</w:t>
      </w:r>
      <w:r w:rsidR="00267BC9">
        <w:t>s</w:t>
      </w:r>
      <w:r>
        <w:t xml:space="preserve">. </w:t>
      </w:r>
    </w:p>
    <w:p w14:paraId="246DBDD7" w14:textId="7FAF68A4" w:rsidR="00AC4722" w:rsidRDefault="0061211F" w:rsidP="00530A1D">
      <w:pPr>
        <w:pStyle w:val="normal0"/>
        <w:spacing w:line="240" w:lineRule="auto"/>
        <w:jc w:val="both"/>
      </w:pPr>
      <w:r>
        <w:t xml:space="preserve">These are all listed in the materials inventory. </w:t>
      </w:r>
    </w:p>
    <w:p w14:paraId="2118B673" w14:textId="77777777" w:rsidR="00AC4722" w:rsidRDefault="00AC4722" w:rsidP="00530A1D">
      <w:pPr>
        <w:pStyle w:val="normal0"/>
        <w:spacing w:line="240" w:lineRule="auto"/>
        <w:jc w:val="both"/>
      </w:pPr>
    </w:p>
    <w:p w14:paraId="5EEA1C20" w14:textId="77777777" w:rsidR="00267BC9" w:rsidRDefault="00267BC9" w:rsidP="00530A1D">
      <w:pPr>
        <w:pStyle w:val="normal0"/>
        <w:spacing w:line="240" w:lineRule="auto"/>
        <w:jc w:val="both"/>
      </w:pPr>
    </w:p>
    <w:p w14:paraId="5645E325" w14:textId="77777777" w:rsidR="00267BC9" w:rsidRDefault="00267BC9" w:rsidP="00530A1D">
      <w:pPr>
        <w:pStyle w:val="normal0"/>
        <w:spacing w:line="240" w:lineRule="auto"/>
        <w:jc w:val="both"/>
      </w:pPr>
    </w:p>
    <w:p w14:paraId="5227F561" w14:textId="77777777" w:rsidR="00267BC9" w:rsidRDefault="00267BC9" w:rsidP="00530A1D">
      <w:pPr>
        <w:pStyle w:val="normal0"/>
        <w:spacing w:line="240" w:lineRule="auto"/>
        <w:jc w:val="both"/>
      </w:pPr>
    </w:p>
    <w:p w14:paraId="61FD7C81" w14:textId="77777777" w:rsidR="00267BC9" w:rsidRDefault="00267BC9" w:rsidP="00530A1D">
      <w:pPr>
        <w:pStyle w:val="normal0"/>
        <w:spacing w:line="240" w:lineRule="auto"/>
        <w:jc w:val="both"/>
      </w:pPr>
    </w:p>
    <w:p w14:paraId="549E3AC7" w14:textId="77777777" w:rsidR="00267BC9" w:rsidRDefault="00267BC9" w:rsidP="00530A1D">
      <w:pPr>
        <w:pStyle w:val="normal0"/>
        <w:spacing w:line="240" w:lineRule="auto"/>
        <w:jc w:val="both"/>
      </w:pPr>
    </w:p>
    <w:p w14:paraId="4C1C2F58" w14:textId="6FAF5C46" w:rsidR="00AC4722" w:rsidRDefault="0061211F" w:rsidP="00530A1D">
      <w:pPr>
        <w:pStyle w:val="normal0"/>
        <w:spacing w:line="240" w:lineRule="auto"/>
        <w:jc w:val="both"/>
      </w:pPr>
      <w:r>
        <w:rPr>
          <w:b/>
        </w:rPr>
        <w:t>Q</w:t>
      </w:r>
      <w:r>
        <w:t xml:space="preserve">. </w:t>
      </w:r>
      <w:r>
        <w:rPr>
          <w:i/>
        </w:rPr>
        <w:t xml:space="preserve">The ETC bottle inlet port is not </w:t>
      </w:r>
      <w:r w:rsidR="00A10EF1">
        <w:rPr>
          <w:i/>
        </w:rPr>
        <w:t>capped. How does the fluid stay</w:t>
      </w:r>
      <w:r>
        <w:rPr>
          <w:i/>
        </w:rPr>
        <w:t xml:space="preserve"> inside?</w:t>
      </w:r>
    </w:p>
    <w:p w14:paraId="75492628" w14:textId="3573D40E" w:rsidR="00AC4722" w:rsidRDefault="0061211F" w:rsidP="00530A1D">
      <w:pPr>
        <w:pStyle w:val="normal0"/>
        <w:spacing w:line="240" w:lineRule="auto"/>
        <w:jc w:val="both"/>
      </w:pPr>
      <w:proofErr w:type="spellStart"/>
      <w:r>
        <w:rPr>
          <w:b/>
        </w:rPr>
        <w:t>Ans</w:t>
      </w:r>
      <w:proofErr w:type="spellEnd"/>
      <w:r>
        <w:t xml:space="preserve">: The inlet ports </w:t>
      </w:r>
      <w:r w:rsidR="005D597B">
        <w:t xml:space="preserve">are connected by sealed tubing, </w:t>
      </w:r>
      <w:proofErr w:type="spellStart"/>
      <w:r>
        <w:t>which</w:t>
      </w:r>
      <w:proofErr w:type="spellEnd"/>
      <w:r>
        <w:t xml:space="preserve"> connect to the buffer filter and buffer circulator in the following order: </w:t>
      </w:r>
    </w:p>
    <w:p w14:paraId="350F10BC" w14:textId="379AE2D8" w:rsidR="00AC4722" w:rsidRDefault="0061211F" w:rsidP="00530A1D">
      <w:pPr>
        <w:pStyle w:val="normal0"/>
        <w:spacing w:line="240" w:lineRule="auto"/>
        <w:jc w:val="both"/>
      </w:pPr>
      <w:r>
        <w:rPr>
          <w:b/>
        </w:rPr>
        <w:t xml:space="preserve">Buffer circulator outlet </w:t>
      </w:r>
      <w:r>
        <w:t xml:space="preserve">--(tubing)--&gt; </w:t>
      </w:r>
      <w:r>
        <w:rPr>
          <w:b/>
        </w:rPr>
        <w:t xml:space="preserve">stopcock </w:t>
      </w:r>
      <w:r>
        <w:t xml:space="preserve">--(tubing)--&gt; </w:t>
      </w:r>
      <w:r>
        <w:rPr>
          <w:b/>
        </w:rPr>
        <w:t xml:space="preserve">Buffer filter inlet </w:t>
      </w:r>
      <w:r>
        <w:t xml:space="preserve">--(filter interior)--&gt; </w:t>
      </w:r>
      <w:r>
        <w:rPr>
          <w:b/>
        </w:rPr>
        <w:t xml:space="preserve">Buffer filter outlet </w:t>
      </w:r>
      <w:r>
        <w:t xml:space="preserve">--(tubing)--&gt; </w:t>
      </w:r>
      <w:r>
        <w:rPr>
          <w:b/>
        </w:rPr>
        <w:t xml:space="preserve">stopcock </w:t>
      </w:r>
      <w:r>
        <w:t xml:space="preserve">--(tubing)--&gt; </w:t>
      </w:r>
      <w:r>
        <w:rPr>
          <w:b/>
        </w:rPr>
        <w:t xml:space="preserve">ETC chamber </w:t>
      </w:r>
      <w:proofErr w:type="gramStart"/>
      <w:r>
        <w:rPr>
          <w:b/>
        </w:rPr>
        <w:t>inlet(</w:t>
      </w:r>
      <w:proofErr w:type="gramEnd"/>
      <w:r>
        <w:rPr>
          <w:b/>
        </w:rPr>
        <w:t>bottom)</w:t>
      </w:r>
      <w:r>
        <w:t xml:space="preserve"> --(ETC interior)--&gt; </w:t>
      </w:r>
      <w:r>
        <w:rPr>
          <w:b/>
        </w:rPr>
        <w:t xml:space="preserve">ETC chamber outlet (top) </w:t>
      </w:r>
      <w:r>
        <w:t xml:space="preserve">--&gt;--(tubing)--&gt; </w:t>
      </w:r>
      <w:r>
        <w:rPr>
          <w:b/>
        </w:rPr>
        <w:t xml:space="preserve">stopcock </w:t>
      </w:r>
      <w:r>
        <w:t xml:space="preserve">--(tubing)--&gt; </w:t>
      </w:r>
      <w:r>
        <w:rPr>
          <w:b/>
        </w:rPr>
        <w:t xml:space="preserve">Buffer circulator inlet </w:t>
      </w:r>
      <w:r>
        <w:t xml:space="preserve">--(Buffer Circulator Interior)--&gt; </w:t>
      </w:r>
      <w:r>
        <w:rPr>
          <w:b/>
        </w:rPr>
        <w:t>Buffer circulator outlet</w:t>
      </w:r>
    </w:p>
    <w:p w14:paraId="49BF751A" w14:textId="283E0E17" w:rsidR="00AC4722" w:rsidRDefault="0061211F" w:rsidP="00530A1D">
      <w:pPr>
        <w:pStyle w:val="normal0"/>
        <w:spacing w:line="240" w:lineRule="auto"/>
        <w:jc w:val="both"/>
      </w:pPr>
      <w:r>
        <w:t>Note that both the ETC inlets/outlets</w:t>
      </w:r>
      <w:r w:rsidR="005D597B">
        <w:t xml:space="preserve"> </w:t>
      </w:r>
      <w:r>
        <w:t xml:space="preserve">(7/16” hex) and the filter inlets/outlets (9/16” hex) are made of the single barbed tube fittings listed in the inventory. </w:t>
      </w:r>
    </w:p>
    <w:p w14:paraId="50FC345F" w14:textId="77777777" w:rsidR="00AC4722" w:rsidRDefault="00AC4722" w:rsidP="00530A1D">
      <w:pPr>
        <w:pStyle w:val="normal0"/>
        <w:spacing w:line="240" w:lineRule="auto"/>
        <w:jc w:val="both"/>
      </w:pPr>
    </w:p>
    <w:p w14:paraId="7671F6C0" w14:textId="7AEFCA4B" w:rsidR="00AC4722" w:rsidRDefault="0061211F" w:rsidP="00530A1D">
      <w:pPr>
        <w:pStyle w:val="normal0"/>
        <w:spacing w:line="240" w:lineRule="auto"/>
        <w:jc w:val="both"/>
      </w:pPr>
      <w:r>
        <w:rPr>
          <w:b/>
        </w:rPr>
        <w:t>Q</w:t>
      </w:r>
      <w:r>
        <w:t xml:space="preserve">. </w:t>
      </w:r>
      <w:r>
        <w:rPr>
          <w:i/>
        </w:rPr>
        <w:t>How to scale clearing time, voltages and electrode spacing</w:t>
      </w:r>
      <w:r w:rsidR="005D597B">
        <w:rPr>
          <w:i/>
        </w:rPr>
        <w:t xml:space="preserve"> to clarify larger samples, </w:t>
      </w:r>
      <w:proofErr w:type="spellStart"/>
      <w:r w:rsidR="005D597B">
        <w:rPr>
          <w:i/>
        </w:rPr>
        <w:t>eg</w:t>
      </w:r>
      <w:proofErr w:type="spellEnd"/>
      <w:r w:rsidR="005D597B">
        <w:rPr>
          <w:i/>
        </w:rPr>
        <w:t xml:space="preserve"> r</w:t>
      </w:r>
      <w:r>
        <w:rPr>
          <w:i/>
        </w:rPr>
        <w:t>at brain.</w:t>
      </w:r>
    </w:p>
    <w:p w14:paraId="0D142694" w14:textId="6B8E2CBB" w:rsidR="00AC4722" w:rsidRDefault="0061211F" w:rsidP="00530A1D">
      <w:pPr>
        <w:pStyle w:val="normal0"/>
        <w:spacing w:line="240" w:lineRule="auto"/>
        <w:jc w:val="both"/>
      </w:pPr>
      <w:proofErr w:type="spellStart"/>
      <w:r>
        <w:rPr>
          <w:b/>
        </w:rPr>
        <w:t>Ans</w:t>
      </w:r>
      <w:proofErr w:type="spellEnd"/>
      <w:r>
        <w:t>: In general, the higher the voltage or smal</w:t>
      </w:r>
      <w:r w:rsidR="005D597B">
        <w:t>ler the separation, higher the e</w:t>
      </w:r>
      <w:r>
        <w:t>lectric force and hence lesser clearing time. However, high voltage can adversely affect the tissue integrity.</w:t>
      </w:r>
      <w:r w:rsidR="005D597B">
        <w:t xml:space="preserve"> We suggest remaining </w:t>
      </w:r>
      <w:proofErr w:type="gramStart"/>
      <w:r w:rsidR="005D597B">
        <w:t>under</w:t>
      </w:r>
      <w:proofErr w:type="gramEnd"/>
      <w:r w:rsidR="005D597B">
        <w:t xml:space="preserve"> 20 V. </w:t>
      </w:r>
    </w:p>
    <w:p w14:paraId="5918B4EF" w14:textId="77777777" w:rsidR="00AC4722" w:rsidRDefault="00AC4722" w:rsidP="00530A1D">
      <w:pPr>
        <w:pStyle w:val="normal0"/>
        <w:spacing w:line="240" w:lineRule="auto"/>
        <w:jc w:val="both"/>
      </w:pPr>
    </w:p>
    <w:p w14:paraId="23E2255E" w14:textId="1597F97F" w:rsidR="00AC4722" w:rsidRDefault="0061211F" w:rsidP="00530A1D">
      <w:pPr>
        <w:pStyle w:val="normal0"/>
        <w:spacing w:line="240" w:lineRule="auto"/>
        <w:jc w:val="both"/>
      </w:pPr>
      <w:r>
        <w:rPr>
          <w:b/>
        </w:rPr>
        <w:t>Q</w:t>
      </w:r>
      <w:r>
        <w:t xml:space="preserve">. </w:t>
      </w:r>
      <w:r>
        <w:rPr>
          <w:i/>
        </w:rPr>
        <w:t>For your ETC chamber</w:t>
      </w:r>
      <w:r w:rsidR="005D597B">
        <w:rPr>
          <w:i/>
        </w:rPr>
        <w:t>, i</w:t>
      </w:r>
      <w:r>
        <w:rPr>
          <w:i/>
        </w:rPr>
        <w:t xml:space="preserve">s it acrylic, stainless steel, or some other material? </w:t>
      </w:r>
    </w:p>
    <w:p w14:paraId="35C05A3F" w14:textId="0CC3AFF7" w:rsidR="00AC4722" w:rsidRDefault="0061211F" w:rsidP="00530A1D">
      <w:pPr>
        <w:pStyle w:val="normal0"/>
        <w:spacing w:line="240" w:lineRule="auto"/>
        <w:jc w:val="both"/>
      </w:pPr>
      <w:proofErr w:type="spellStart"/>
      <w:r>
        <w:rPr>
          <w:b/>
        </w:rPr>
        <w:t>Ans</w:t>
      </w:r>
      <w:proofErr w:type="spellEnd"/>
      <w:r>
        <w:t xml:space="preserve">: We </w:t>
      </w:r>
      <w:r w:rsidR="005D597B">
        <w:t>custom-</w:t>
      </w:r>
      <w:r>
        <w:t xml:space="preserve">build our ETC chamber. We use a plastic </w:t>
      </w:r>
      <w:proofErr w:type="spellStart"/>
      <w:r>
        <w:t>nalgene</w:t>
      </w:r>
      <w:proofErr w:type="spellEnd"/>
      <w:r>
        <w:t xml:space="preserve"> screw-top bottle as the base chamber, add plastic single barbed tube fittings as the inlet and outlet, and tube-to-tube couplings for electrode inserts with platinum wires bent to shape as electrodes.  All of the parts we use are listed in the materials inventory, and pictures are provided within. However please note, there are many ways to apply a voltage with temperature contr</w:t>
      </w:r>
      <w:r w:rsidR="005D597B">
        <w:t>olled buffer circulation, and the gel</w:t>
      </w:r>
      <w:r>
        <w:t xml:space="preserve"> electrophoresis chamber is one. </w:t>
      </w:r>
    </w:p>
    <w:p w14:paraId="6AFD9109" w14:textId="77777777" w:rsidR="00AC4722" w:rsidRDefault="00AC4722" w:rsidP="00530A1D">
      <w:pPr>
        <w:pStyle w:val="normal0"/>
        <w:spacing w:line="240" w:lineRule="auto"/>
        <w:jc w:val="both"/>
      </w:pPr>
    </w:p>
    <w:p w14:paraId="582971E2" w14:textId="2D4C1884" w:rsidR="00AC4722" w:rsidRDefault="0061211F" w:rsidP="00530A1D">
      <w:pPr>
        <w:pStyle w:val="normal0"/>
        <w:spacing w:line="240" w:lineRule="auto"/>
      </w:pPr>
      <w:r>
        <w:rPr>
          <w:b/>
        </w:rPr>
        <w:t>Q</w:t>
      </w:r>
      <w:r>
        <w:t xml:space="preserve">. </w:t>
      </w:r>
      <w:r>
        <w:rPr>
          <w:i/>
        </w:rPr>
        <w:t>Can you daisy chain several chambers to the same circulator? If so, are they connected serially, or in parallel to the water bath with several pumps?</w:t>
      </w:r>
    </w:p>
    <w:p w14:paraId="4902C52A" w14:textId="3D4EDD99" w:rsidR="00AC4722" w:rsidRDefault="0061211F" w:rsidP="00530A1D">
      <w:pPr>
        <w:pStyle w:val="normal0"/>
        <w:spacing w:line="240" w:lineRule="auto"/>
      </w:pPr>
      <w:proofErr w:type="spellStart"/>
      <w:r>
        <w:rPr>
          <w:b/>
        </w:rPr>
        <w:t>Ans</w:t>
      </w:r>
      <w:proofErr w:type="spellEnd"/>
      <w:r>
        <w:t>: Yes</w:t>
      </w:r>
      <w:r w:rsidR="005D597B">
        <w:t>, p</w:t>
      </w:r>
      <w:r>
        <w:t>arallel connections w</w:t>
      </w:r>
      <w:r w:rsidR="005D597B">
        <w:t>ork well.</w:t>
      </w:r>
    </w:p>
    <w:p w14:paraId="0A52C2D7" w14:textId="77777777" w:rsidR="00AC4722" w:rsidRDefault="00AC4722" w:rsidP="00530A1D">
      <w:pPr>
        <w:pStyle w:val="normal0"/>
        <w:spacing w:line="240" w:lineRule="auto"/>
      </w:pPr>
    </w:p>
    <w:p w14:paraId="240958C5" w14:textId="536DA536" w:rsidR="00AC4722" w:rsidRDefault="0061211F" w:rsidP="00530A1D">
      <w:pPr>
        <w:pStyle w:val="normal0"/>
        <w:spacing w:line="240" w:lineRule="auto"/>
        <w:jc w:val="both"/>
      </w:pPr>
      <w:r>
        <w:rPr>
          <w:b/>
        </w:rPr>
        <w:t>Q</w:t>
      </w:r>
      <w:r>
        <w:t xml:space="preserve">. </w:t>
      </w:r>
      <w:r>
        <w:rPr>
          <w:i/>
        </w:rPr>
        <w:t>In the protocol, it is recommended to use a water bath with external circulation that has both cooling and heating capabilities. Is the cooling necessary to achieve a 37°-50° temperature? Is it possible to use a pump coupled with simple heating water bath?</w:t>
      </w:r>
    </w:p>
    <w:p w14:paraId="159F4CEB" w14:textId="77777777" w:rsidR="00AC4722" w:rsidRDefault="0061211F" w:rsidP="00530A1D">
      <w:pPr>
        <w:pStyle w:val="normal0"/>
        <w:spacing w:line="240" w:lineRule="auto"/>
        <w:jc w:val="both"/>
      </w:pPr>
      <w:proofErr w:type="spellStart"/>
      <w:r>
        <w:rPr>
          <w:b/>
        </w:rPr>
        <w:t>Ans</w:t>
      </w:r>
      <w:proofErr w:type="spellEnd"/>
      <w:r>
        <w:t>: Normally electrophoresis produces heat, and hence the temperature of the buffer may rise above the set point. Cooling will be needed to bring it to set point again. However, it is possible to avoid cooling by running buffer at lower than set temperature to compensate for the heating. It is possible to use a pump coupled with simple heating water bath.</w:t>
      </w:r>
    </w:p>
    <w:p w14:paraId="1B569490" w14:textId="77777777" w:rsidR="00AC4722" w:rsidRDefault="00AC4722" w:rsidP="00530A1D">
      <w:pPr>
        <w:pStyle w:val="normal0"/>
        <w:spacing w:line="240" w:lineRule="auto"/>
        <w:jc w:val="both"/>
      </w:pPr>
    </w:p>
    <w:p w14:paraId="638E0CD6" w14:textId="423A96BF" w:rsidR="00AC4722" w:rsidRDefault="0061211F" w:rsidP="00530A1D">
      <w:pPr>
        <w:pStyle w:val="normal0"/>
        <w:spacing w:line="240" w:lineRule="auto"/>
        <w:jc w:val="both"/>
      </w:pPr>
      <w:r>
        <w:rPr>
          <w:b/>
        </w:rPr>
        <w:t>Q</w:t>
      </w:r>
      <w:r>
        <w:t xml:space="preserve">. </w:t>
      </w:r>
      <w:r>
        <w:rPr>
          <w:i/>
        </w:rPr>
        <w:t>Because of the large volume needed, and the cost of SDS, can you reuse the clearing solution for several runs?</w:t>
      </w:r>
    </w:p>
    <w:p w14:paraId="5B8F543E" w14:textId="698C20FF" w:rsidR="00AC4722" w:rsidRDefault="0061211F" w:rsidP="00530A1D">
      <w:pPr>
        <w:pStyle w:val="normal0"/>
        <w:spacing w:line="240" w:lineRule="auto"/>
        <w:jc w:val="both"/>
      </w:pPr>
      <w:proofErr w:type="spellStart"/>
      <w:r>
        <w:rPr>
          <w:b/>
        </w:rPr>
        <w:t>Ans</w:t>
      </w:r>
      <w:proofErr w:type="spellEnd"/>
      <w:r>
        <w:t>: Clearing solution is extremely important for the success of ETC based clearing. The pH and ionic concentrations are critical parameters. Typically, clearing solution can be re-used as long as the pH and buffer chemistry are not changing. Make sure to check pH regularly to make sure it has not changed from 8.5 due to elect</w:t>
      </w:r>
      <w:r w:rsidR="005D597B">
        <w:t xml:space="preserve">rolysis within the ETC chamber. Rebalancing pH is not a good </w:t>
      </w:r>
      <w:proofErr w:type="gramStart"/>
      <w:r w:rsidR="005D597B">
        <w:t>idea</w:t>
      </w:r>
      <w:proofErr w:type="gramEnd"/>
      <w:r w:rsidR="005D597B">
        <w:t xml:space="preserve"> as it will change ionic strength of the buffer. </w:t>
      </w:r>
      <w:r>
        <w:t xml:space="preserve">We usually </w:t>
      </w:r>
      <w:r w:rsidR="005D597B">
        <w:t>replace the clearing solution (</w:t>
      </w:r>
      <w:r>
        <w:t>in circulator) and water filter cartridge</w:t>
      </w:r>
      <w:r w:rsidR="005D597B">
        <w:t xml:space="preserve"> </w:t>
      </w:r>
      <w:r>
        <w:t xml:space="preserve">(in buffer filter) every 2-3 whole mouse brain samples. </w:t>
      </w:r>
    </w:p>
    <w:p w14:paraId="249FBAF2" w14:textId="77777777" w:rsidR="00AC4722" w:rsidRDefault="00AC4722" w:rsidP="00530A1D">
      <w:pPr>
        <w:pStyle w:val="normal0"/>
        <w:spacing w:line="240" w:lineRule="auto"/>
        <w:jc w:val="both"/>
      </w:pPr>
    </w:p>
    <w:p w14:paraId="1B68DFB5" w14:textId="38A83D97" w:rsidR="00AC4722" w:rsidRDefault="0061211F" w:rsidP="00530A1D">
      <w:pPr>
        <w:pStyle w:val="normal0"/>
        <w:spacing w:line="240" w:lineRule="auto"/>
        <w:jc w:val="both"/>
      </w:pPr>
      <w:r>
        <w:rPr>
          <w:b/>
        </w:rPr>
        <w:t>Q</w:t>
      </w:r>
      <w:r>
        <w:t xml:space="preserve">. </w:t>
      </w:r>
      <w:r>
        <w:rPr>
          <w:i/>
        </w:rPr>
        <w:t xml:space="preserve">In the protocol it says that two setups can be run at 50 </w:t>
      </w:r>
      <w:proofErr w:type="spellStart"/>
      <w:r>
        <w:rPr>
          <w:i/>
        </w:rPr>
        <w:t>degC</w:t>
      </w:r>
      <w:proofErr w:type="spellEnd"/>
      <w:r>
        <w:rPr>
          <w:i/>
        </w:rPr>
        <w:t xml:space="preserve"> and 60V while four setups can be run at 37 </w:t>
      </w:r>
      <w:proofErr w:type="spellStart"/>
      <w:r>
        <w:rPr>
          <w:i/>
        </w:rPr>
        <w:t>degC</w:t>
      </w:r>
      <w:proofErr w:type="spellEnd"/>
      <w:r>
        <w:rPr>
          <w:i/>
        </w:rPr>
        <w:t xml:space="preserve"> and 30V.  Is this because the power supply </w:t>
      </w:r>
      <w:proofErr w:type="gramStart"/>
      <w:r>
        <w:rPr>
          <w:i/>
        </w:rPr>
        <w:t>can not</w:t>
      </w:r>
      <w:proofErr w:type="gramEnd"/>
      <w:r>
        <w:rPr>
          <w:i/>
        </w:rPr>
        <w:t xml:space="preserve"> maintain 60V across four setups?  How is the temperature related to the voltage?</w:t>
      </w:r>
    </w:p>
    <w:p w14:paraId="215AD123" w14:textId="47AA9C36" w:rsidR="00AC4722" w:rsidRDefault="0061211F" w:rsidP="00530A1D">
      <w:pPr>
        <w:pStyle w:val="normal0"/>
        <w:spacing w:line="240" w:lineRule="auto"/>
        <w:jc w:val="both"/>
      </w:pPr>
      <w:proofErr w:type="spellStart"/>
      <w:r>
        <w:rPr>
          <w:b/>
        </w:rPr>
        <w:lastRenderedPageBreak/>
        <w:t>Ans</w:t>
      </w:r>
      <w:proofErr w:type="spellEnd"/>
      <w:r>
        <w:t xml:space="preserve">:  It is correct that the power supply </w:t>
      </w:r>
      <w:proofErr w:type="gramStart"/>
      <w:r>
        <w:t>can not</w:t>
      </w:r>
      <w:proofErr w:type="gramEnd"/>
      <w:r>
        <w:t xml:space="preserve"> maintain 60V across four setups.  In general, it is better to use lower temperatures (such as 37 </w:t>
      </w:r>
      <w:proofErr w:type="spellStart"/>
      <w:r>
        <w:t>degC</w:t>
      </w:r>
      <w:proofErr w:type="spellEnd"/>
      <w:r>
        <w:t xml:space="preserve">) and lower voltages (10-30V) in order to maintain the pH of the buffer solution and reduce the number of bubbles that form in the solution during clearing.  Higher voltages and temperatures lead to increased electrolysis at the electrodes, which leads to bubble formation and changes to the composition of the clearing solution.  Both of these changes could be damaging to the tissue. </w:t>
      </w:r>
    </w:p>
    <w:p w14:paraId="6325E499" w14:textId="77777777" w:rsidR="005020AE" w:rsidRDefault="005020AE" w:rsidP="00530A1D">
      <w:pPr>
        <w:pStyle w:val="normal0"/>
        <w:spacing w:line="240" w:lineRule="auto"/>
        <w:jc w:val="both"/>
      </w:pPr>
    </w:p>
    <w:p w14:paraId="3415EFE7" w14:textId="2B66E5C4" w:rsidR="00AC4722" w:rsidRDefault="0061211F" w:rsidP="00530A1D">
      <w:pPr>
        <w:pStyle w:val="normal0"/>
        <w:spacing w:line="240" w:lineRule="auto"/>
        <w:jc w:val="both"/>
      </w:pPr>
      <w:r>
        <w:rPr>
          <w:b/>
        </w:rPr>
        <w:t>Q</w:t>
      </w:r>
      <w:r>
        <w:t xml:space="preserve">. </w:t>
      </w:r>
      <w:r>
        <w:rPr>
          <w:i/>
        </w:rPr>
        <w:t>Do you need more than one buffer filter for multiple simultaneous ETC chambers?  How long does the filter cartridge last?</w:t>
      </w:r>
    </w:p>
    <w:p w14:paraId="48A12FA2" w14:textId="1FEB4BAC" w:rsidR="00AC4722" w:rsidRDefault="0061211F" w:rsidP="00530A1D">
      <w:pPr>
        <w:pStyle w:val="normal0"/>
        <w:spacing w:line="240" w:lineRule="auto"/>
        <w:jc w:val="both"/>
      </w:pPr>
      <w:proofErr w:type="spellStart"/>
      <w:r>
        <w:rPr>
          <w:b/>
        </w:rPr>
        <w:t>Ans</w:t>
      </w:r>
      <w:proofErr w:type="spellEnd"/>
      <w:r>
        <w:t>:  Only one filter per circulator, but the filter cartridge is replaced after every 2 whole brain samples.</w:t>
      </w:r>
    </w:p>
    <w:p w14:paraId="3FBFBE6A" w14:textId="77777777" w:rsidR="005020AE" w:rsidRDefault="005020AE" w:rsidP="00530A1D">
      <w:pPr>
        <w:pStyle w:val="normal0"/>
        <w:spacing w:line="240" w:lineRule="auto"/>
        <w:jc w:val="both"/>
      </w:pPr>
    </w:p>
    <w:p w14:paraId="2001B2B5" w14:textId="454A7756" w:rsidR="0061211F" w:rsidRDefault="0061211F" w:rsidP="00530A1D">
      <w:pPr>
        <w:pStyle w:val="normal0"/>
        <w:spacing w:line="240" w:lineRule="auto"/>
        <w:jc w:val="both"/>
        <w:rPr>
          <w:b/>
        </w:rPr>
      </w:pPr>
      <w:r>
        <w:rPr>
          <w:b/>
        </w:rPr>
        <w:t>Q.</w:t>
      </w:r>
      <w:r>
        <w:t xml:space="preserve"> Sometimes I see black carbonaceous material appearing</w:t>
      </w:r>
      <w:r w:rsidR="005020AE">
        <w:t xml:space="preserve"> on my sample</w:t>
      </w:r>
      <w:r>
        <w:t>.</w:t>
      </w:r>
      <w:r w:rsidRPr="0061211F">
        <w:rPr>
          <w:b/>
        </w:rPr>
        <w:t xml:space="preserve"> </w:t>
      </w:r>
    </w:p>
    <w:p w14:paraId="0973D1FC" w14:textId="4DE86217" w:rsidR="0061211F" w:rsidRDefault="0061211F" w:rsidP="00530A1D">
      <w:pPr>
        <w:pStyle w:val="normal0"/>
        <w:spacing w:line="240" w:lineRule="auto"/>
        <w:jc w:val="both"/>
      </w:pPr>
      <w:proofErr w:type="spellStart"/>
      <w:r>
        <w:rPr>
          <w:b/>
        </w:rPr>
        <w:t>Ans</w:t>
      </w:r>
      <w:proofErr w:type="spellEnd"/>
      <w:r>
        <w:t xml:space="preserve">: This can arise from black tubing, oxidized tissue, or blackened/burned connectors on the circulator. Use clear tubing and if the problem is persistent use an all-stainless steel circulator like the </w:t>
      </w:r>
      <w:proofErr w:type="spellStart"/>
      <w:r>
        <w:t>Julabo</w:t>
      </w:r>
      <w:proofErr w:type="spellEnd"/>
      <w:r>
        <w:t xml:space="preserve">. </w:t>
      </w:r>
    </w:p>
    <w:p w14:paraId="1216CCAD" w14:textId="77777777" w:rsidR="0061211F" w:rsidRDefault="0061211F" w:rsidP="00530A1D">
      <w:pPr>
        <w:pStyle w:val="normal0"/>
        <w:spacing w:line="240" w:lineRule="auto"/>
        <w:jc w:val="both"/>
      </w:pPr>
    </w:p>
    <w:p w14:paraId="39F8B383" w14:textId="77777777" w:rsidR="005020AE" w:rsidRDefault="005020AE" w:rsidP="00530A1D">
      <w:pPr>
        <w:pStyle w:val="normal0"/>
        <w:spacing w:line="240" w:lineRule="auto"/>
        <w:jc w:val="both"/>
        <w:rPr>
          <w:b/>
          <w:u w:val="single"/>
        </w:rPr>
      </w:pPr>
    </w:p>
    <w:p w14:paraId="5AE5D981" w14:textId="77777777" w:rsidR="00AC4722" w:rsidRDefault="0061211F" w:rsidP="00530A1D">
      <w:pPr>
        <w:pStyle w:val="normal0"/>
        <w:spacing w:line="240" w:lineRule="auto"/>
        <w:jc w:val="both"/>
      </w:pPr>
      <w:r>
        <w:rPr>
          <w:b/>
          <w:u w:val="single"/>
        </w:rPr>
        <w:t>Staining related</w:t>
      </w:r>
    </w:p>
    <w:p w14:paraId="3ED6067A" w14:textId="77777777" w:rsidR="00AC4722" w:rsidRDefault="00AC4722" w:rsidP="00530A1D">
      <w:pPr>
        <w:pStyle w:val="normal0"/>
        <w:spacing w:line="240" w:lineRule="auto"/>
        <w:jc w:val="both"/>
      </w:pPr>
    </w:p>
    <w:p w14:paraId="33C33D47" w14:textId="01F9D2AA" w:rsidR="00AC4722" w:rsidRDefault="0061211F" w:rsidP="00530A1D">
      <w:pPr>
        <w:pStyle w:val="normal0"/>
        <w:spacing w:line="240" w:lineRule="auto"/>
        <w:jc w:val="both"/>
      </w:pPr>
      <w:r>
        <w:rPr>
          <w:b/>
        </w:rPr>
        <w:t>Q</w:t>
      </w:r>
      <w:r>
        <w:t xml:space="preserve">. </w:t>
      </w:r>
      <w:r>
        <w:rPr>
          <w:i/>
        </w:rPr>
        <w:t>The protocol does not indicate the use of a blocking reagent prior to the primary antibody incubation, or during the primary and secondary incubations such as se</w:t>
      </w:r>
      <w:r w:rsidR="009A5054">
        <w:rPr>
          <w:i/>
        </w:rPr>
        <w:t xml:space="preserve">rum or BSA. Is it specific to </w:t>
      </w:r>
      <w:proofErr w:type="spellStart"/>
      <w:r w:rsidR="009A5054">
        <w:rPr>
          <w:i/>
        </w:rPr>
        <w:t>immunostaining</w:t>
      </w:r>
      <w:proofErr w:type="spellEnd"/>
      <w:r>
        <w:rPr>
          <w:i/>
        </w:rPr>
        <w:t xml:space="preserve"> done in your study, or is it not necessary due to the “hydrogel” nature of the tissue?</w:t>
      </w:r>
    </w:p>
    <w:p w14:paraId="6412A728" w14:textId="641B2F7E" w:rsidR="00AC4722" w:rsidRDefault="0061211F" w:rsidP="00530A1D">
      <w:pPr>
        <w:pStyle w:val="normal0"/>
        <w:spacing w:line="240" w:lineRule="auto"/>
        <w:jc w:val="both"/>
      </w:pPr>
      <w:proofErr w:type="spellStart"/>
      <w:r>
        <w:rPr>
          <w:b/>
        </w:rPr>
        <w:t>Ans</w:t>
      </w:r>
      <w:proofErr w:type="spellEnd"/>
      <w:r w:rsidR="009A5054">
        <w:t>: Blocking-</w:t>
      </w:r>
      <w:r>
        <w:t xml:space="preserve">reagent incubation of hydrogel tissue </w:t>
      </w:r>
      <w:r w:rsidR="009A5054">
        <w:t xml:space="preserve">may be done but is often </w:t>
      </w:r>
      <w:r>
        <w:t xml:space="preserve">not necessary as the most unspecific binding sites / pockets are already removed in the clearing process. </w:t>
      </w:r>
    </w:p>
    <w:p w14:paraId="583F6A8A" w14:textId="77777777" w:rsidR="00AC4722" w:rsidRDefault="00AC4722" w:rsidP="00530A1D">
      <w:pPr>
        <w:pStyle w:val="normal0"/>
        <w:spacing w:line="240" w:lineRule="auto"/>
        <w:jc w:val="both"/>
      </w:pPr>
    </w:p>
    <w:p w14:paraId="13E70554" w14:textId="3250C774" w:rsidR="00AC4722" w:rsidRDefault="0061211F" w:rsidP="00530A1D">
      <w:pPr>
        <w:pStyle w:val="normal0"/>
        <w:spacing w:line="240" w:lineRule="auto"/>
        <w:jc w:val="both"/>
      </w:pPr>
      <w:r>
        <w:rPr>
          <w:b/>
        </w:rPr>
        <w:t>Q</w:t>
      </w:r>
      <w:r>
        <w:t xml:space="preserve">. </w:t>
      </w:r>
      <w:r w:rsidR="009A5054">
        <w:rPr>
          <w:i/>
        </w:rPr>
        <w:t xml:space="preserve">For the multiple-round </w:t>
      </w:r>
      <w:proofErr w:type="spellStart"/>
      <w:r w:rsidR="009A5054">
        <w:rPr>
          <w:i/>
        </w:rPr>
        <w:t>immunostaining</w:t>
      </w:r>
      <w:proofErr w:type="spellEnd"/>
      <w:r w:rsidR="009A5054">
        <w:rPr>
          <w:i/>
        </w:rPr>
        <w:t>,</w:t>
      </w:r>
      <w:r>
        <w:rPr>
          <w:i/>
        </w:rPr>
        <w:t xml:space="preserve"> could you detail the incubation times used to wash the imaging solution</w:t>
      </w:r>
      <w:r w:rsidR="009A5054">
        <w:rPr>
          <w:i/>
        </w:rPr>
        <w:t>?</w:t>
      </w:r>
    </w:p>
    <w:p w14:paraId="20C42F26" w14:textId="77777777" w:rsidR="00AC4722" w:rsidRDefault="0061211F" w:rsidP="00530A1D">
      <w:pPr>
        <w:pStyle w:val="normal0"/>
        <w:spacing w:line="240" w:lineRule="auto"/>
        <w:jc w:val="both"/>
      </w:pPr>
      <w:proofErr w:type="spellStart"/>
      <w:r>
        <w:rPr>
          <w:b/>
        </w:rPr>
        <w:t>Ans</w:t>
      </w:r>
      <w:proofErr w:type="spellEnd"/>
      <w:r>
        <w:t>: The imaging media can be removed by incubating the tissue two times in PBS (50 ml Falcon, with shaking) for one day each.</w:t>
      </w:r>
    </w:p>
    <w:p w14:paraId="21519129" w14:textId="77777777" w:rsidR="00AC4722" w:rsidRDefault="00AC4722" w:rsidP="00530A1D">
      <w:pPr>
        <w:pStyle w:val="normal0"/>
        <w:spacing w:line="240" w:lineRule="auto"/>
        <w:jc w:val="both"/>
      </w:pPr>
    </w:p>
    <w:p w14:paraId="513A88E4" w14:textId="7BD9E25C" w:rsidR="00AC4722" w:rsidRDefault="0061211F" w:rsidP="00530A1D">
      <w:pPr>
        <w:pStyle w:val="normal0"/>
        <w:spacing w:line="240" w:lineRule="auto"/>
        <w:jc w:val="both"/>
      </w:pPr>
      <w:r>
        <w:rPr>
          <w:b/>
        </w:rPr>
        <w:t>Q</w:t>
      </w:r>
      <w:r>
        <w:t xml:space="preserve">. </w:t>
      </w:r>
      <w:r>
        <w:rPr>
          <w:i/>
        </w:rPr>
        <w:t>VA044</w:t>
      </w:r>
      <w:r w:rsidR="009A5054">
        <w:rPr>
          <w:i/>
        </w:rPr>
        <w:t>:</w:t>
      </w:r>
      <w:r>
        <w:rPr>
          <w:i/>
        </w:rPr>
        <w:t xml:space="preserve"> I can’t seem to find any place to purchase it</w:t>
      </w:r>
      <w:r w:rsidR="009A5054">
        <w:rPr>
          <w:i/>
        </w:rPr>
        <w:t>.</w:t>
      </w:r>
    </w:p>
    <w:p w14:paraId="4DA2791B" w14:textId="4552A3FF" w:rsidR="00AC4722" w:rsidRDefault="0061211F" w:rsidP="00530A1D">
      <w:pPr>
        <w:pStyle w:val="normal0"/>
        <w:spacing w:line="240" w:lineRule="auto"/>
        <w:jc w:val="both"/>
      </w:pPr>
      <w:proofErr w:type="spellStart"/>
      <w:r>
        <w:rPr>
          <w:b/>
        </w:rPr>
        <w:t>Ans</w:t>
      </w:r>
      <w:proofErr w:type="spellEnd"/>
      <w:r>
        <w:t xml:space="preserve">: Please refer to protocol on </w:t>
      </w:r>
      <w:r w:rsidR="009A5054">
        <w:t>the</w:t>
      </w:r>
      <w:r>
        <w:t xml:space="preserve"> website </w:t>
      </w:r>
      <w:hyperlink r:id="rId15">
        <w:r>
          <w:rPr>
            <w:color w:val="1155CC"/>
            <w:u w:val="single"/>
          </w:rPr>
          <w:t>http://clarityresourcecenter.org</w:t>
        </w:r>
      </w:hyperlink>
      <w:r>
        <w:t xml:space="preserve">. </w:t>
      </w:r>
      <w:r w:rsidR="009A5054">
        <w:t>Inventory:</w:t>
      </w:r>
      <w:r>
        <w:t xml:space="preserve"> </w:t>
      </w:r>
      <w:hyperlink r:id="rId16">
        <w:r>
          <w:rPr>
            <w:color w:val="1155CC"/>
            <w:u w:val="single"/>
          </w:rPr>
          <w:t>http://clarityresourcecenter.org/CLARITY_materials.pdf</w:t>
        </w:r>
      </w:hyperlink>
    </w:p>
    <w:p w14:paraId="6D0CD853" w14:textId="5B3E994A" w:rsidR="00AC4722" w:rsidRDefault="0061211F" w:rsidP="00530A1D">
      <w:pPr>
        <w:pStyle w:val="normal0"/>
        <w:spacing w:line="240" w:lineRule="auto"/>
        <w:jc w:val="both"/>
      </w:pPr>
      <w:r>
        <w:t xml:space="preserve">VA044 can be purchased from Wako (Cat. no. VA-044). </w:t>
      </w:r>
      <w:r w:rsidR="009A5054">
        <w:t xml:space="preserve">Additionally we recommend </w:t>
      </w:r>
      <w:proofErr w:type="spellStart"/>
      <w:r w:rsidR="009A5054">
        <w:t>FocusClear</w:t>
      </w:r>
      <w:proofErr w:type="spellEnd"/>
      <w:r w:rsidR="009A5054">
        <w:t xml:space="preserve"> from </w:t>
      </w:r>
      <w:proofErr w:type="spellStart"/>
      <w:r w:rsidR="009A5054">
        <w:t>CelExplorer</w:t>
      </w:r>
      <w:proofErr w:type="spellEnd"/>
      <w:r w:rsidR="009A5054">
        <w:t>.</w:t>
      </w:r>
    </w:p>
    <w:p w14:paraId="20D3C7FD" w14:textId="77777777" w:rsidR="00AC4722" w:rsidRDefault="00AC4722" w:rsidP="00530A1D">
      <w:pPr>
        <w:pStyle w:val="normal0"/>
        <w:spacing w:line="240" w:lineRule="auto"/>
        <w:jc w:val="both"/>
      </w:pPr>
    </w:p>
    <w:p w14:paraId="1AD65A6E" w14:textId="77777777" w:rsidR="00AC4722" w:rsidRDefault="00AC4722" w:rsidP="00530A1D">
      <w:pPr>
        <w:pStyle w:val="normal0"/>
        <w:spacing w:line="240" w:lineRule="auto"/>
        <w:jc w:val="both"/>
      </w:pPr>
    </w:p>
    <w:p w14:paraId="2C57EFD3" w14:textId="77777777" w:rsidR="00AC4722" w:rsidRDefault="0061211F" w:rsidP="00530A1D">
      <w:pPr>
        <w:pStyle w:val="normal0"/>
        <w:spacing w:line="240" w:lineRule="auto"/>
        <w:jc w:val="both"/>
      </w:pPr>
      <w:r>
        <w:rPr>
          <w:b/>
          <w:u w:val="single"/>
        </w:rPr>
        <w:t>Mounting/Imaging/Analysis related</w:t>
      </w:r>
    </w:p>
    <w:p w14:paraId="44983E87" w14:textId="77777777" w:rsidR="00AC4722" w:rsidRDefault="00AC4722" w:rsidP="00530A1D">
      <w:pPr>
        <w:pStyle w:val="normal0"/>
        <w:spacing w:line="240" w:lineRule="auto"/>
        <w:jc w:val="both"/>
      </w:pPr>
    </w:p>
    <w:p w14:paraId="1FA3A8D2" w14:textId="2A47C438" w:rsidR="00AC4722" w:rsidRDefault="0061211F" w:rsidP="00530A1D">
      <w:pPr>
        <w:pStyle w:val="normal0"/>
        <w:spacing w:line="240" w:lineRule="auto"/>
        <w:jc w:val="both"/>
      </w:pPr>
      <w:r>
        <w:rPr>
          <w:b/>
        </w:rPr>
        <w:t>Q</w:t>
      </w:r>
      <w:r>
        <w:t xml:space="preserve">. </w:t>
      </w:r>
      <w:r>
        <w:rPr>
          <w:i/>
        </w:rPr>
        <w:t xml:space="preserve">How to best store the samples for future analysis? </w:t>
      </w:r>
    </w:p>
    <w:p w14:paraId="649049B8" w14:textId="3C191BAE" w:rsidR="00AC4722" w:rsidRDefault="0061211F" w:rsidP="00530A1D">
      <w:pPr>
        <w:pStyle w:val="normal0"/>
        <w:spacing w:line="240" w:lineRule="auto"/>
        <w:jc w:val="both"/>
      </w:pPr>
      <w:proofErr w:type="spellStart"/>
      <w:r>
        <w:rPr>
          <w:b/>
        </w:rPr>
        <w:t>Ans</w:t>
      </w:r>
      <w:proofErr w:type="spellEnd"/>
      <w:r>
        <w:t>: The embedded samples can be stored in PBS-</w:t>
      </w:r>
      <w:proofErr w:type="spellStart"/>
      <w:r>
        <w:t>TritonX</w:t>
      </w:r>
      <w:proofErr w:type="spellEnd"/>
      <w:r>
        <w:t xml:space="preserve"> @ 4 degree</w:t>
      </w:r>
      <w:r w:rsidR="005020AE">
        <w:t>s</w:t>
      </w:r>
      <w:r>
        <w:t xml:space="preserve"> </w:t>
      </w:r>
      <w:proofErr w:type="spellStart"/>
      <w:proofErr w:type="gramStart"/>
      <w:r>
        <w:t>celsius</w:t>
      </w:r>
      <w:proofErr w:type="spellEnd"/>
      <w:proofErr w:type="gramEnd"/>
      <w:r>
        <w:t>. The cleared samples can be s</w:t>
      </w:r>
      <w:r w:rsidR="005020AE">
        <w:t xml:space="preserve">tored in </w:t>
      </w:r>
      <w:proofErr w:type="spellStart"/>
      <w:r w:rsidR="005020AE">
        <w:t>FocusClear</w:t>
      </w:r>
      <w:proofErr w:type="spellEnd"/>
      <w:r w:rsidR="005020AE">
        <w:t xml:space="preserve"> medium at r</w:t>
      </w:r>
      <w:r>
        <w:t xml:space="preserve">oom </w:t>
      </w:r>
      <w:r w:rsidR="005020AE">
        <w:t>t</w:t>
      </w:r>
      <w:r>
        <w:t xml:space="preserve">emperature. Take care to lightproof samples if necessary. </w:t>
      </w:r>
    </w:p>
    <w:p w14:paraId="0E68F1FC" w14:textId="77777777" w:rsidR="00AC4722" w:rsidRDefault="00AC4722" w:rsidP="00530A1D">
      <w:pPr>
        <w:pStyle w:val="normal0"/>
        <w:spacing w:line="240" w:lineRule="auto"/>
        <w:jc w:val="both"/>
      </w:pPr>
    </w:p>
    <w:p w14:paraId="6B1817BA" w14:textId="5CC8540D" w:rsidR="00AC4722" w:rsidRDefault="0061211F" w:rsidP="00530A1D">
      <w:pPr>
        <w:pStyle w:val="normal0"/>
        <w:spacing w:line="240" w:lineRule="auto"/>
        <w:jc w:val="both"/>
      </w:pPr>
      <w:r>
        <w:rPr>
          <w:b/>
        </w:rPr>
        <w:t>Q</w:t>
      </w:r>
      <w:r>
        <w:t xml:space="preserve">. </w:t>
      </w:r>
      <w:r>
        <w:rPr>
          <w:i/>
        </w:rPr>
        <w:t xml:space="preserve">In the final refractive index matching step, </w:t>
      </w:r>
      <w:r w:rsidR="00E6516B">
        <w:rPr>
          <w:i/>
        </w:rPr>
        <w:t>g</w:t>
      </w:r>
      <w:r>
        <w:rPr>
          <w:i/>
        </w:rPr>
        <w:t xml:space="preserve">lycerol and </w:t>
      </w:r>
      <w:proofErr w:type="spellStart"/>
      <w:r>
        <w:rPr>
          <w:i/>
        </w:rPr>
        <w:t>FocusClear</w:t>
      </w:r>
      <w:proofErr w:type="spellEnd"/>
      <w:r>
        <w:rPr>
          <w:i/>
        </w:rPr>
        <w:t xml:space="preserve"> are reported to be interchangeable, but then only </w:t>
      </w:r>
      <w:proofErr w:type="spellStart"/>
      <w:r>
        <w:rPr>
          <w:i/>
        </w:rPr>
        <w:t>FocusClear</w:t>
      </w:r>
      <w:proofErr w:type="spellEnd"/>
      <w:r>
        <w:rPr>
          <w:i/>
        </w:rPr>
        <w:t xml:space="preserve"> is recommended for filling the imaging chamber. Why? And is it possible to use </w:t>
      </w:r>
      <w:proofErr w:type="gramStart"/>
      <w:r>
        <w:rPr>
          <w:i/>
        </w:rPr>
        <w:t>a</w:t>
      </w:r>
      <w:proofErr w:type="gramEnd"/>
      <w:r>
        <w:rPr>
          <w:i/>
        </w:rPr>
        <w:t xml:space="preserve"> 80-85% </w:t>
      </w:r>
      <w:r w:rsidR="00E6516B">
        <w:rPr>
          <w:i/>
        </w:rPr>
        <w:t>g</w:t>
      </w:r>
      <w:r>
        <w:rPr>
          <w:i/>
        </w:rPr>
        <w:t xml:space="preserve">lycerol solution instead of </w:t>
      </w:r>
      <w:proofErr w:type="spellStart"/>
      <w:r>
        <w:rPr>
          <w:i/>
        </w:rPr>
        <w:t>FocusClear</w:t>
      </w:r>
      <w:proofErr w:type="spellEnd"/>
      <w:r>
        <w:rPr>
          <w:i/>
        </w:rPr>
        <w:t xml:space="preserve"> for filling</w:t>
      </w:r>
      <w:r w:rsidR="00E6516B">
        <w:rPr>
          <w:i/>
        </w:rPr>
        <w:t>?</w:t>
      </w:r>
    </w:p>
    <w:p w14:paraId="165329D7" w14:textId="00AAE22B" w:rsidR="00AC4722" w:rsidRDefault="0061211F" w:rsidP="00530A1D">
      <w:pPr>
        <w:pStyle w:val="normal0"/>
        <w:spacing w:line="240" w:lineRule="auto"/>
        <w:jc w:val="both"/>
      </w:pPr>
      <w:proofErr w:type="spellStart"/>
      <w:r>
        <w:rPr>
          <w:b/>
        </w:rPr>
        <w:lastRenderedPageBreak/>
        <w:t>Ans</w:t>
      </w:r>
      <w:proofErr w:type="spellEnd"/>
      <w:r w:rsidR="009A5054">
        <w:t xml:space="preserve">: We </w:t>
      </w:r>
      <w:r w:rsidR="005020AE">
        <w:t xml:space="preserve">have </w:t>
      </w:r>
      <w:r w:rsidR="009A5054">
        <w:t xml:space="preserve">found that </w:t>
      </w:r>
      <w:proofErr w:type="spellStart"/>
      <w:r w:rsidR="009A5054">
        <w:t>Focus</w:t>
      </w:r>
      <w:r>
        <w:t>Clear</w:t>
      </w:r>
      <w:proofErr w:type="spellEnd"/>
      <w:r>
        <w:t xml:space="preserve"> gives the best clearing resul</w:t>
      </w:r>
      <w:r w:rsidR="009A5054">
        <w:t>ts. 80-85% g</w:t>
      </w:r>
      <w:r>
        <w:t xml:space="preserve">lycerol also </w:t>
      </w:r>
      <w:r w:rsidR="009A5054">
        <w:t xml:space="preserve">can work but not as well since </w:t>
      </w:r>
      <w:r>
        <w:t>it does not match well with the tissue refractive index. Please refer to Supplementary Figure 3 for a comparison.</w:t>
      </w:r>
    </w:p>
    <w:p w14:paraId="33D93352" w14:textId="77777777" w:rsidR="005020AE" w:rsidRDefault="005020AE" w:rsidP="005020AE">
      <w:pPr>
        <w:pStyle w:val="normal0"/>
        <w:spacing w:line="240" w:lineRule="auto"/>
        <w:jc w:val="both"/>
      </w:pPr>
    </w:p>
    <w:p w14:paraId="2E92AAC8" w14:textId="77777777" w:rsidR="005020AE" w:rsidRDefault="005020AE" w:rsidP="005020AE">
      <w:pPr>
        <w:pStyle w:val="normal0"/>
        <w:spacing w:line="240" w:lineRule="auto"/>
        <w:jc w:val="both"/>
      </w:pPr>
      <w:r>
        <w:rPr>
          <w:b/>
        </w:rPr>
        <w:t>Q</w:t>
      </w:r>
      <w:r>
        <w:t xml:space="preserve">. </w:t>
      </w:r>
      <w:r>
        <w:rPr>
          <w:i/>
        </w:rPr>
        <w:t xml:space="preserve">Are the </w:t>
      </w:r>
      <w:proofErr w:type="spellStart"/>
      <w:r>
        <w:rPr>
          <w:i/>
        </w:rPr>
        <w:t>Willco</w:t>
      </w:r>
      <w:proofErr w:type="spellEnd"/>
      <w:r>
        <w:rPr>
          <w:i/>
        </w:rPr>
        <w:t xml:space="preserve"> dishes reusable?</w:t>
      </w:r>
    </w:p>
    <w:p w14:paraId="6A1B4955" w14:textId="09A3F927" w:rsidR="005020AE" w:rsidRDefault="005020AE" w:rsidP="00530A1D">
      <w:pPr>
        <w:pStyle w:val="normal0"/>
        <w:spacing w:line="240" w:lineRule="auto"/>
        <w:jc w:val="both"/>
      </w:pPr>
      <w:r>
        <w:rPr>
          <w:b/>
        </w:rPr>
        <w:t>Ans</w:t>
      </w:r>
      <w:r>
        <w:t>.  The dishes are not reusable.</w:t>
      </w:r>
      <w:bookmarkStart w:id="0" w:name="_GoBack"/>
      <w:bookmarkEnd w:id="0"/>
    </w:p>
    <w:p w14:paraId="0F78ECE8" w14:textId="77777777" w:rsidR="00AC4722" w:rsidRDefault="00AC4722" w:rsidP="00530A1D">
      <w:pPr>
        <w:pStyle w:val="normal0"/>
        <w:spacing w:line="240" w:lineRule="auto"/>
        <w:jc w:val="both"/>
      </w:pPr>
    </w:p>
    <w:p w14:paraId="2D2544EB" w14:textId="1429C389" w:rsidR="00AC4722" w:rsidRDefault="005020AE" w:rsidP="00530A1D">
      <w:pPr>
        <w:pStyle w:val="normal0"/>
        <w:spacing w:line="240" w:lineRule="auto"/>
        <w:jc w:val="both"/>
      </w:pPr>
      <w:r>
        <w:rPr>
          <w:b/>
        </w:rPr>
        <w:t>Q</w:t>
      </w:r>
      <w:r w:rsidR="0061211F">
        <w:rPr>
          <w:b/>
        </w:rPr>
        <w:t>.</w:t>
      </w:r>
      <w:r w:rsidR="0061211F">
        <w:t xml:space="preserve"> </w:t>
      </w:r>
      <w:r w:rsidR="009A5054">
        <w:rPr>
          <w:i/>
        </w:rPr>
        <w:t>Which c</w:t>
      </w:r>
      <w:r w:rsidR="0061211F">
        <w:rPr>
          <w:i/>
        </w:rPr>
        <w:t>onfocal, including stage and objectives, did you use for image acquisition?</w:t>
      </w:r>
    </w:p>
    <w:p w14:paraId="09D1AD89" w14:textId="10FC54E0" w:rsidR="00AC4722" w:rsidRDefault="0061211F" w:rsidP="00530A1D">
      <w:pPr>
        <w:pStyle w:val="normal0"/>
        <w:spacing w:line="240" w:lineRule="auto"/>
        <w:jc w:val="both"/>
      </w:pPr>
      <w:proofErr w:type="spellStart"/>
      <w:r>
        <w:rPr>
          <w:b/>
        </w:rPr>
        <w:t>Ans</w:t>
      </w:r>
      <w:proofErr w:type="spellEnd"/>
      <w:r>
        <w:rPr>
          <w:b/>
        </w:rPr>
        <w:t>:</w:t>
      </w:r>
      <w:r>
        <w:t xml:space="preserve"> Leica SP5 equipped with 10X HCX AOP L (w</w:t>
      </w:r>
      <w:r w:rsidR="00E6516B">
        <w:t>ater immersion, 0.3 NA, 3.6 mm working d</w:t>
      </w:r>
      <w:r>
        <w:t>istance), 25X HCX IRAPOL (wa</w:t>
      </w:r>
      <w:r w:rsidR="00E6516B">
        <w:t>ter immersion, 0.95 NA, 2.4 mm working d</w:t>
      </w:r>
      <w:r>
        <w:t>istance), 63</w:t>
      </w:r>
      <w:r w:rsidR="00E6516B">
        <w:t>X (1.3 NA, glycerol-immersion, working d</w:t>
      </w:r>
      <w:r>
        <w:t>istance 280 microns) and an encoded automated stage recommended by Leica.</w:t>
      </w:r>
    </w:p>
    <w:p w14:paraId="4BFB2328" w14:textId="77777777" w:rsidR="00AC4722" w:rsidRDefault="00AC4722" w:rsidP="00530A1D">
      <w:pPr>
        <w:pStyle w:val="normal0"/>
        <w:spacing w:line="240" w:lineRule="auto"/>
        <w:jc w:val="both"/>
      </w:pPr>
    </w:p>
    <w:p w14:paraId="7C808CD2" w14:textId="4B46C362" w:rsidR="00AC4722" w:rsidRDefault="009A5054" w:rsidP="00530A1D">
      <w:pPr>
        <w:pStyle w:val="normal0"/>
        <w:spacing w:line="240" w:lineRule="auto"/>
        <w:jc w:val="both"/>
      </w:pPr>
      <w:r>
        <w:rPr>
          <w:b/>
        </w:rPr>
        <w:t>Q</w:t>
      </w:r>
      <w:r w:rsidR="0061211F">
        <w:rPr>
          <w:b/>
        </w:rPr>
        <w:t>.</w:t>
      </w:r>
      <w:r w:rsidR="0061211F">
        <w:t xml:space="preserve"> </w:t>
      </w:r>
      <w:r w:rsidR="0061211F">
        <w:rPr>
          <w:i/>
        </w:rPr>
        <w:t>Could you provide specs of the control computer used for data acquisition?</w:t>
      </w:r>
    </w:p>
    <w:p w14:paraId="6AA74594" w14:textId="41795513" w:rsidR="00AC4722" w:rsidRDefault="0061211F" w:rsidP="00530A1D">
      <w:pPr>
        <w:pStyle w:val="normal0"/>
        <w:spacing w:line="240" w:lineRule="auto"/>
        <w:jc w:val="both"/>
      </w:pPr>
      <w:proofErr w:type="spellStart"/>
      <w:r>
        <w:rPr>
          <w:b/>
          <w:highlight w:val="white"/>
        </w:rPr>
        <w:t>Ans</w:t>
      </w:r>
      <w:proofErr w:type="spellEnd"/>
      <w:r>
        <w:rPr>
          <w:b/>
          <w:highlight w:val="white"/>
        </w:rPr>
        <w:t>:</w:t>
      </w:r>
      <w:r>
        <w:rPr>
          <w:highlight w:val="white"/>
        </w:rPr>
        <w:t xml:space="preserve"> </w:t>
      </w:r>
      <w:r w:rsidR="009A5054">
        <w:rPr>
          <w:highlight w:val="white"/>
        </w:rPr>
        <w:t>Should be tuned to microscope manufacturer recommendations, with</w:t>
      </w:r>
      <w:r>
        <w:rPr>
          <w:highlight w:val="white"/>
        </w:rPr>
        <w:t xml:space="preserve"> an excellent graphics card, </w:t>
      </w:r>
      <w:r w:rsidR="009A5054">
        <w:rPr>
          <w:highlight w:val="white"/>
        </w:rPr>
        <w:t xml:space="preserve">and extensive </w:t>
      </w:r>
      <w:r>
        <w:rPr>
          <w:highlight w:val="white"/>
        </w:rPr>
        <w:t>RAM and storage</w:t>
      </w:r>
      <w:r w:rsidR="009A5054">
        <w:rPr>
          <w:highlight w:val="white"/>
        </w:rPr>
        <w:t xml:space="preserve"> corresponding to dataset size (see below)</w:t>
      </w:r>
      <w:r>
        <w:rPr>
          <w:highlight w:val="white"/>
        </w:rPr>
        <w:t>.</w:t>
      </w:r>
    </w:p>
    <w:p w14:paraId="1D582877" w14:textId="77777777" w:rsidR="009A5054" w:rsidRDefault="009A5054" w:rsidP="00530A1D">
      <w:pPr>
        <w:pStyle w:val="normal0"/>
        <w:spacing w:line="240" w:lineRule="auto"/>
        <w:jc w:val="both"/>
        <w:rPr>
          <w:b/>
        </w:rPr>
      </w:pPr>
    </w:p>
    <w:p w14:paraId="63DC998F" w14:textId="7483B91E" w:rsidR="00AC4722" w:rsidRDefault="009A5054" w:rsidP="00530A1D">
      <w:pPr>
        <w:pStyle w:val="normal0"/>
        <w:spacing w:line="240" w:lineRule="auto"/>
        <w:jc w:val="both"/>
      </w:pPr>
      <w:r>
        <w:rPr>
          <w:b/>
        </w:rPr>
        <w:t>Q</w:t>
      </w:r>
      <w:r w:rsidR="0061211F">
        <w:rPr>
          <w:b/>
        </w:rPr>
        <w:t>.</w:t>
      </w:r>
      <w:r w:rsidR="0061211F">
        <w:t xml:space="preserve"> </w:t>
      </w:r>
      <w:r w:rsidR="0061211F">
        <w:rPr>
          <w:i/>
        </w:rPr>
        <w:t xml:space="preserve">What are the specs of the computer you used for analyzing images with </w:t>
      </w:r>
      <w:proofErr w:type="spellStart"/>
      <w:r w:rsidR="0061211F">
        <w:rPr>
          <w:i/>
        </w:rPr>
        <w:t>Imaris</w:t>
      </w:r>
      <w:proofErr w:type="spellEnd"/>
      <w:r w:rsidR="0061211F">
        <w:rPr>
          <w:i/>
        </w:rPr>
        <w:t>? How much storage capacity for raw and processed data is needed?</w:t>
      </w:r>
    </w:p>
    <w:p w14:paraId="20FBF9B6" w14:textId="5DF5DCBA" w:rsidR="00AC4722" w:rsidRDefault="0061211F" w:rsidP="00530A1D">
      <w:pPr>
        <w:pStyle w:val="normal0"/>
        <w:spacing w:line="240" w:lineRule="auto"/>
        <w:jc w:val="both"/>
      </w:pPr>
      <w:proofErr w:type="spellStart"/>
      <w:r>
        <w:rPr>
          <w:b/>
          <w:highlight w:val="white"/>
        </w:rPr>
        <w:t>Ans</w:t>
      </w:r>
      <w:proofErr w:type="spellEnd"/>
      <w:r>
        <w:rPr>
          <w:b/>
          <w:highlight w:val="white"/>
        </w:rPr>
        <w:t xml:space="preserve">: </w:t>
      </w:r>
      <w:r>
        <w:rPr>
          <w:highlight w:val="white"/>
        </w:rPr>
        <w:t>In general any computer with multiple cores of latest CPUs, a large amount of RAM (&gt;=64 GB), an excellent graphics card and ample storage capacity</w:t>
      </w:r>
      <w:r w:rsidR="009A5054">
        <w:rPr>
          <w:highlight w:val="white"/>
        </w:rPr>
        <w:t xml:space="preserve"> will work. For mouse imaging experimen</w:t>
      </w:r>
      <w:r>
        <w:rPr>
          <w:highlight w:val="white"/>
        </w:rPr>
        <w:t>ts, d</w:t>
      </w:r>
      <w:r w:rsidR="009A5054">
        <w:rPr>
          <w:highlight w:val="white"/>
        </w:rPr>
        <w:t>e</w:t>
      </w:r>
      <w:r>
        <w:rPr>
          <w:highlight w:val="white"/>
        </w:rPr>
        <w:t>pending on the objectives used, data sets can reach up to several hundreds of GBs. Thus, w</w:t>
      </w:r>
      <w:r w:rsidR="009A5054">
        <w:rPr>
          <w:highlight w:val="white"/>
        </w:rPr>
        <w:t xml:space="preserve">e recommend corresponding </w:t>
      </w:r>
      <w:r>
        <w:rPr>
          <w:highlight w:val="white"/>
        </w:rPr>
        <w:t>storage, depending on the number of experiments.</w:t>
      </w:r>
    </w:p>
    <w:p w14:paraId="7DA79122" w14:textId="77777777" w:rsidR="00AC4722" w:rsidRDefault="00AC4722" w:rsidP="00530A1D">
      <w:pPr>
        <w:pStyle w:val="normal0"/>
        <w:spacing w:line="240" w:lineRule="auto"/>
        <w:jc w:val="both"/>
      </w:pPr>
    </w:p>
    <w:p w14:paraId="509071EA" w14:textId="77777777" w:rsidR="00AC4722" w:rsidRDefault="00AC4722" w:rsidP="00530A1D">
      <w:pPr>
        <w:pStyle w:val="normal0"/>
        <w:spacing w:line="240" w:lineRule="auto"/>
        <w:jc w:val="both"/>
      </w:pPr>
    </w:p>
    <w:sectPr w:rsidR="00AC4722">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64F2C"/>
    <w:multiLevelType w:val="multilevel"/>
    <w:tmpl w:val="20E0847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displayBackgroundShape/>
  <w:proofState w:spelling="clean" w:grammar="clean"/>
  <w:defaultTabStop w:val="720"/>
  <w:characterSpacingControl w:val="doNotCompress"/>
  <w:compat>
    <w:useFELayout/>
    <w:compatSetting w:name="compatibilityMode" w:uri="http://schemas.microsoft.com/office/word" w:val="14"/>
  </w:compat>
  <w:rsids>
    <w:rsidRoot w:val="00AC4722"/>
    <w:rsid w:val="00267BC9"/>
    <w:rsid w:val="00297A79"/>
    <w:rsid w:val="005020AE"/>
    <w:rsid w:val="00530A1D"/>
    <w:rsid w:val="005D597B"/>
    <w:rsid w:val="0061211F"/>
    <w:rsid w:val="00645BB6"/>
    <w:rsid w:val="009A5054"/>
    <w:rsid w:val="009B6E18"/>
    <w:rsid w:val="00A10EF1"/>
    <w:rsid w:val="00AC4722"/>
    <w:rsid w:val="00E651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39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outlineLvl w:val="0"/>
    </w:pPr>
    <w:rPr>
      <w:rFonts w:ascii="Trebuchet MS" w:eastAsia="Trebuchet MS" w:hAnsi="Trebuchet MS" w:cs="Trebuchet MS"/>
      <w:sz w:val="32"/>
    </w:rPr>
  </w:style>
  <w:style w:type="paragraph" w:styleId="Heading2">
    <w:name w:val="heading 2"/>
    <w:basedOn w:val="normal0"/>
    <w:next w:val="normal0"/>
    <w:pPr>
      <w:spacing w:before="200"/>
      <w:outlineLvl w:val="1"/>
    </w:pPr>
    <w:rPr>
      <w:rFonts w:ascii="Trebuchet MS" w:eastAsia="Trebuchet MS" w:hAnsi="Trebuchet MS" w:cs="Trebuchet MS"/>
      <w:b/>
      <w:sz w:val="26"/>
    </w:rPr>
  </w:style>
  <w:style w:type="paragraph" w:styleId="Heading3">
    <w:name w:val="heading 3"/>
    <w:basedOn w:val="normal0"/>
    <w:next w:val="normal0"/>
    <w:pPr>
      <w:spacing w:before="160"/>
      <w:outlineLvl w:val="2"/>
    </w:pPr>
    <w:rPr>
      <w:rFonts w:ascii="Trebuchet MS" w:eastAsia="Trebuchet MS" w:hAnsi="Trebuchet MS" w:cs="Trebuchet MS"/>
      <w:b/>
      <w:color w:val="666666"/>
      <w:sz w:val="24"/>
    </w:rPr>
  </w:style>
  <w:style w:type="paragraph" w:styleId="Heading4">
    <w:name w:val="heading 4"/>
    <w:basedOn w:val="normal0"/>
    <w:next w:val="normal0"/>
    <w:pPr>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outlineLvl w:val="4"/>
    </w:pPr>
    <w:rPr>
      <w:rFonts w:ascii="Trebuchet MS" w:eastAsia="Trebuchet MS" w:hAnsi="Trebuchet MS" w:cs="Trebuchet MS"/>
      <w:color w:val="666666"/>
    </w:rPr>
  </w:style>
  <w:style w:type="paragraph" w:styleId="Heading6">
    <w:name w:val="heading 6"/>
    <w:basedOn w:val="normal0"/>
    <w:next w:val="normal0"/>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rPr>
      <w:rFonts w:ascii="Trebuchet MS" w:eastAsia="Trebuchet MS" w:hAnsi="Trebuchet MS" w:cs="Trebuchet MS"/>
      <w:sz w:val="42"/>
    </w:rPr>
  </w:style>
  <w:style w:type="paragraph" w:styleId="Subtitle">
    <w:name w:val="Subtitle"/>
    <w:basedOn w:val="normal0"/>
    <w:next w:val="normal0"/>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297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7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outlineLvl w:val="0"/>
    </w:pPr>
    <w:rPr>
      <w:rFonts w:ascii="Trebuchet MS" w:eastAsia="Trebuchet MS" w:hAnsi="Trebuchet MS" w:cs="Trebuchet MS"/>
      <w:sz w:val="32"/>
    </w:rPr>
  </w:style>
  <w:style w:type="paragraph" w:styleId="Heading2">
    <w:name w:val="heading 2"/>
    <w:basedOn w:val="normal0"/>
    <w:next w:val="normal0"/>
    <w:pPr>
      <w:spacing w:before="200"/>
      <w:outlineLvl w:val="1"/>
    </w:pPr>
    <w:rPr>
      <w:rFonts w:ascii="Trebuchet MS" w:eastAsia="Trebuchet MS" w:hAnsi="Trebuchet MS" w:cs="Trebuchet MS"/>
      <w:b/>
      <w:sz w:val="26"/>
    </w:rPr>
  </w:style>
  <w:style w:type="paragraph" w:styleId="Heading3">
    <w:name w:val="heading 3"/>
    <w:basedOn w:val="normal0"/>
    <w:next w:val="normal0"/>
    <w:pPr>
      <w:spacing w:before="160"/>
      <w:outlineLvl w:val="2"/>
    </w:pPr>
    <w:rPr>
      <w:rFonts w:ascii="Trebuchet MS" w:eastAsia="Trebuchet MS" w:hAnsi="Trebuchet MS" w:cs="Trebuchet MS"/>
      <w:b/>
      <w:color w:val="666666"/>
      <w:sz w:val="24"/>
    </w:rPr>
  </w:style>
  <w:style w:type="paragraph" w:styleId="Heading4">
    <w:name w:val="heading 4"/>
    <w:basedOn w:val="normal0"/>
    <w:next w:val="normal0"/>
    <w:pPr>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spacing w:before="160"/>
      <w:outlineLvl w:val="4"/>
    </w:pPr>
    <w:rPr>
      <w:rFonts w:ascii="Trebuchet MS" w:eastAsia="Trebuchet MS" w:hAnsi="Trebuchet MS" w:cs="Trebuchet MS"/>
      <w:color w:val="666666"/>
    </w:rPr>
  </w:style>
  <w:style w:type="paragraph" w:styleId="Heading6">
    <w:name w:val="heading 6"/>
    <w:basedOn w:val="normal0"/>
    <w:next w:val="normal0"/>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rPr>
      <w:rFonts w:ascii="Trebuchet MS" w:eastAsia="Trebuchet MS" w:hAnsi="Trebuchet MS" w:cs="Trebuchet MS"/>
      <w:sz w:val="42"/>
    </w:rPr>
  </w:style>
  <w:style w:type="paragraph" w:styleId="Subtitle">
    <w:name w:val="Subtitle"/>
    <w:basedOn w:val="normal0"/>
    <w:next w:val="normal0"/>
    <w:pPr>
      <w:spacing w:after="200"/>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297A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7A7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hyperlink" Target="http://clarityresourcecenter.org/CLARITY_materials.pdf" TargetMode="External"/><Relationship Id="rId16" Type="http://schemas.openxmlformats.org/officeDocument/2006/relationships/hyperlink" Target="http://clarityresourcecenter.org/CLARITY_materials.pdf"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ove.com/video/3564/whole-animal-perfusion-fixation-for-rodents"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pn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1569</Words>
  <Characters>8947</Characters>
  <Application>Microsoft Macintosh Word</Application>
  <DocSecurity>0</DocSecurity>
  <Lines>74</Lines>
  <Paragraphs>20</Paragraphs>
  <ScaleCrop>false</ScaleCrop>
  <Company>Stanford University</Company>
  <LinksUpToDate>false</LinksUpToDate>
  <CharactersWithSpaces>10496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CLARITY_faq.docx</dc:title>
  <cp:lastModifiedBy>Karl Deisseroth</cp:lastModifiedBy>
  <cp:revision>10</cp:revision>
  <dcterms:created xsi:type="dcterms:W3CDTF">2013-06-16T04:21:00Z</dcterms:created>
  <dcterms:modified xsi:type="dcterms:W3CDTF">2013-06-16T04:50:00Z</dcterms:modified>
</cp:coreProperties>
</file>